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561BF" w:rsidR="00772209" w:rsidRDefault="00772209" w14:paraId="3417CF9B" w14:textId="77777777">
      <w:pPr>
        <w:rPr>
          <w:rFonts w:ascii="Amira Light" w:hAnsi="Amira Light"/>
        </w:rPr>
      </w:pPr>
    </w:p>
    <w:p w:rsidRPr="00E561BF" w:rsidR="00772209" w:rsidP="006D5EE1" w:rsidRDefault="002A211F" w14:paraId="3ED26128" w14:textId="655C779C">
      <w:pPr>
        <w:jc w:val="right"/>
        <w:rPr>
          <w:rFonts w:ascii="Amira Light" w:hAnsi="Amira Light"/>
        </w:rPr>
      </w:pPr>
      <w:r w:rsidRPr="00E561BF">
        <w:rPr>
          <w:rFonts w:ascii="Amira Light" w:hAnsi="Amira Light"/>
          <w:noProof/>
        </w:rPr>
        <w:drawing>
          <wp:inline distT="0" distB="0" distL="0" distR="0" wp14:anchorId="276584CC" wp14:editId="7A2CFECB">
            <wp:extent cx="5731510" cy="1666875"/>
            <wp:effectExtent l="0" t="0" r="2540" b="9525"/>
            <wp:docPr id="631446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446467" name=""/>
                    <pic:cNvPicPr/>
                  </pic:nvPicPr>
                  <pic:blipFill rotWithShape="1">
                    <a:blip r:embed="rId8"/>
                    <a:srcRect b="27586"/>
                    <a:stretch>
                      <a:fillRect/>
                    </a:stretch>
                  </pic:blipFill>
                  <pic:spPr bwMode="auto">
                    <a:xfrm>
                      <a:off x="0" y="0"/>
                      <a:ext cx="5731510" cy="1666875"/>
                    </a:xfrm>
                    <a:prstGeom prst="rect">
                      <a:avLst/>
                    </a:prstGeom>
                    <a:ln>
                      <a:noFill/>
                    </a:ln>
                    <a:extLst>
                      <a:ext uri="{53640926-AAD7-44D8-BBD7-CCE9431645EC}">
                        <a14:shadowObscured xmlns:a14="http://schemas.microsoft.com/office/drawing/2010/main"/>
                      </a:ext>
                    </a:extLst>
                  </pic:spPr>
                </pic:pic>
              </a:graphicData>
            </a:graphic>
          </wp:inline>
        </w:drawing>
      </w:r>
    </w:p>
    <w:p w:rsidRPr="00E561BF" w:rsidR="002A211F" w:rsidRDefault="002A211F" w14:paraId="27264241" w14:textId="77777777">
      <w:pPr>
        <w:rPr>
          <w:rFonts w:ascii="Amira Light" w:hAnsi="Amira Light"/>
        </w:rPr>
      </w:pPr>
    </w:p>
    <w:p w:rsidRPr="00E561BF" w:rsidR="002A211F" w:rsidRDefault="00181644" w14:paraId="03B800E4" w14:textId="5DA33F10">
      <w:pPr>
        <w:rPr>
          <w:rFonts w:ascii="Amira Light" w:hAnsi="Amira Light"/>
        </w:rPr>
      </w:pPr>
      <w:r>
        <w:rPr>
          <w:rFonts w:ascii="Amira Light" w:hAnsi="Amira Light"/>
          <w:b/>
          <w:bCs/>
        </w:rPr>
        <w:t>Interpretation Design Consultant</w:t>
      </w:r>
      <w:r w:rsidR="00931710">
        <w:rPr>
          <w:rFonts w:ascii="Amira Light" w:hAnsi="Amira Light"/>
          <w:b/>
          <w:bCs/>
        </w:rPr>
        <w:t xml:space="preserve"> </w:t>
      </w:r>
      <w:r w:rsidRPr="00E561BF" w:rsidR="00CC4030">
        <w:rPr>
          <w:rFonts w:ascii="Amira Light" w:hAnsi="Amira Light"/>
          <w:b/>
          <w:bCs/>
        </w:rPr>
        <w:t xml:space="preserve">- </w:t>
      </w:r>
      <w:r w:rsidRPr="00E561BF" w:rsidR="00C6788A">
        <w:rPr>
          <w:rFonts w:ascii="Amira Light" w:hAnsi="Amira Light"/>
          <w:b/>
          <w:bCs/>
        </w:rPr>
        <w:t>clarifying questions pooled</w:t>
      </w:r>
    </w:p>
    <w:p w:rsidRPr="00E561BF" w:rsidR="00CC4030" w:rsidRDefault="00CC4030" w14:paraId="031DF711" w14:textId="77777777">
      <w:pPr>
        <w:rPr>
          <w:rFonts w:ascii="Amira Light" w:hAnsi="Amira Light"/>
        </w:rPr>
      </w:pPr>
    </w:p>
    <w:p w:rsidR="00CC4030" w:rsidP="00CC4030" w:rsidRDefault="00CC4030" w14:paraId="230561DB" w14:textId="5A234A03">
      <w:r w:rsidRPr="00E561BF">
        <w:rPr>
          <w:rFonts w:ascii="Amira Light" w:hAnsi="Amira Light"/>
          <w:b/>
          <w:bCs/>
        </w:rPr>
        <w:t>A link to the consultant brief can be accessed here</w:t>
      </w:r>
      <w:r w:rsidRPr="00E561BF">
        <w:rPr>
          <w:rFonts w:ascii="Amira Light" w:hAnsi="Amira Light"/>
        </w:rPr>
        <w:t xml:space="preserve">: </w:t>
      </w:r>
      <w:hyperlink w:history="1" r:id="rId9">
        <w:r w:rsidR="0065120B">
          <w:rPr>
            <w:rStyle w:val="Hyperlink"/>
          </w:rPr>
          <w:t>Consultant-brief-interpretation-design-Benton-end-revived/</w:t>
        </w:r>
      </w:hyperlink>
    </w:p>
    <w:p w:rsidR="0065120B" w:rsidP="00CC4030" w:rsidRDefault="0065120B" w14:paraId="1B83F051" w14:textId="77777777">
      <w:pPr>
        <w:rPr>
          <w:rFonts w:ascii="Amira Light" w:hAnsi="Amira Light"/>
        </w:rPr>
      </w:pPr>
    </w:p>
    <w:p w:rsidRPr="00E561BF" w:rsidR="008E5EBF" w:rsidP="00CC4030" w:rsidRDefault="008E5EBF" w14:paraId="39C0E5C5" w14:textId="77777777">
      <w:pPr>
        <w:rPr>
          <w:rFonts w:ascii="Amira Light" w:hAnsi="Amira Light"/>
        </w:rPr>
      </w:pPr>
    </w:p>
    <w:p w:rsidRPr="00E561BF" w:rsidR="001B17C8" w:rsidP="001B17C8" w:rsidRDefault="001B17C8" w14:paraId="4AAB0D1D" w14:textId="46333978">
      <w:pPr>
        <w:rPr>
          <w:rFonts w:ascii="Amira Light" w:hAnsi="Amira Light"/>
        </w:rPr>
      </w:pPr>
      <w:r w:rsidRPr="00E561BF">
        <w:rPr>
          <w:rFonts w:ascii="Amira Light" w:hAnsi="Amira Light"/>
        </w:rPr>
        <w:t xml:space="preserve">This document contains </w:t>
      </w:r>
      <w:r w:rsidR="00E56C28">
        <w:rPr>
          <w:rFonts w:ascii="Amira Light" w:hAnsi="Amira Light"/>
        </w:rPr>
        <w:t>2</w:t>
      </w:r>
      <w:r w:rsidR="00E57B66">
        <w:rPr>
          <w:rFonts w:ascii="Amira Light" w:hAnsi="Amira Light"/>
        </w:rPr>
        <w:t>9</w:t>
      </w:r>
      <w:r w:rsidRPr="00E561BF">
        <w:rPr>
          <w:rFonts w:ascii="Amira Light" w:hAnsi="Amira Light"/>
        </w:rPr>
        <w:t xml:space="preserve"> collated clarification questions received during the tender period.</w:t>
      </w:r>
    </w:p>
    <w:p w:rsidRPr="00E561BF" w:rsidR="001B17C8" w:rsidP="001B17C8" w:rsidRDefault="001B17C8" w14:paraId="1F22FC63" w14:textId="77777777">
      <w:pPr>
        <w:rPr>
          <w:rFonts w:ascii="Amira Light" w:hAnsi="Amira Light"/>
        </w:rPr>
      </w:pPr>
    </w:p>
    <w:p w:rsidRPr="00E561BF" w:rsidR="00C6788A" w:rsidP="001B17C8" w:rsidRDefault="001B17C8" w14:paraId="0FB16F1D" w14:textId="2D24AD71">
      <w:pPr>
        <w:rPr>
          <w:rFonts w:ascii="Amira Light" w:hAnsi="Amira Light"/>
        </w:rPr>
      </w:pPr>
      <w:r w:rsidRPr="00E561BF">
        <w:rPr>
          <w:rFonts w:ascii="Amira Light" w:hAnsi="Amira Light"/>
        </w:rPr>
        <w:t>In the interests of transparency and fairness, we have included all questions received and provided corresponding responses, even where this has resulted in some repetition.</w:t>
      </w:r>
    </w:p>
    <w:p w:rsidRPr="00E561BF" w:rsidR="001B17C8" w:rsidP="001B17C8" w:rsidRDefault="001B17C8" w14:paraId="01C067B0" w14:textId="77777777">
      <w:pPr>
        <w:rPr>
          <w:rFonts w:ascii="Amira Light" w:hAnsi="Amira Light"/>
        </w:rPr>
      </w:pPr>
    </w:p>
    <w:tbl>
      <w:tblPr>
        <w:tblStyle w:val="TableGrid"/>
        <w:tblW w:w="16019" w:type="dxa"/>
        <w:tblInd w:w="-998" w:type="dxa"/>
        <w:tblLook w:val="04A0" w:firstRow="1" w:lastRow="0" w:firstColumn="1" w:lastColumn="0" w:noHBand="0" w:noVBand="1"/>
      </w:tblPr>
      <w:tblGrid>
        <w:gridCol w:w="851"/>
        <w:gridCol w:w="7372"/>
        <w:gridCol w:w="7796"/>
      </w:tblGrid>
      <w:tr w:rsidRPr="00E561BF" w:rsidR="001F3D69" w:rsidTr="11448424" w14:paraId="0D291F28" w14:textId="77777777">
        <w:trPr>
          <w:tblHeader/>
        </w:trPr>
        <w:tc>
          <w:tcPr>
            <w:tcW w:w="851" w:type="dxa"/>
            <w:tcMar/>
          </w:tcPr>
          <w:p w:rsidRPr="00E561BF" w:rsidR="001F3D69" w:rsidRDefault="001F3D69" w14:paraId="2C6A8135" w14:textId="7A8F7983">
            <w:pPr>
              <w:rPr>
                <w:rFonts w:ascii="Amira Light" w:hAnsi="Amira Light"/>
                <w:b/>
                <w:bCs/>
              </w:rPr>
            </w:pPr>
            <w:r w:rsidRPr="00E561BF">
              <w:rPr>
                <w:rFonts w:ascii="Amira Light" w:hAnsi="Amira Light"/>
                <w:b/>
                <w:bCs/>
              </w:rPr>
              <w:t>Item</w:t>
            </w:r>
          </w:p>
        </w:tc>
        <w:tc>
          <w:tcPr>
            <w:tcW w:w="7372" w:type="dxa"/>
            <w:tcMar/>
          </w:tcPr>
          <w:p w:rsidRPr="00E561BF" w:rsidR="001F3D69" w:rsidRDefault="001F3D69" w14:paraId="0CEBA300" w14:textId="573BA506">
            <w:pPr>
              <w:rPr>
                <w:rFonts w:ascii="Amira Light" w:hAnsi="Amira Light"/>
                <w:b/>
                <w:bCs/>
              </w:rPr>
            </w:pPr>
            <w:r w:rsidRPr="00E561BF">
              <w:rPr>
                <w:rFonts w:ascii="Amira Light" w:hAnsi="Amira Light"/>
                <w:b/>
                <w:bCs/>
              </w:rPr>
              <w:t xml:space="preserve">Question </w:t>
            </w:r>
          </w:p>
        </w:tc>
        <w:tc>
          <w:tcPr>
            <w:tcW w:w="7796" w:type="dxa"/>
            <w:tcMar/>
          </w:tcPr>
          <w:p w:rsidRPr="00E561BF" w:rsidR="001F3D69" w:rsidRDefault="001F3D69" w14:paraId="46D8FB2F" w14:textId="791585F8">
            <w:pPr>
              <w:rPr>
                <w:rFonts w:ascii="Amira Light" w:hAnsi="Amira Light"/>
                <w:b/>
                <w:bCs/>
              </w:rPr>
            </w:pPr>
            <w:r w:rsidRPr="00E561BF">
              <w:rPr>
                <w:rFonts w:ascii="Amira Light" w:hAnsi="Amira Light"/>
                <w:b/>
                <w:bCs/>
              </w:rPr>
              <w:t>Response</w:t>
            </w:r>
          </w:p>
        </w:tc>
      </w:tr>
      <w:tr w:rsidRPr="00E561BF" w:rsidR="001F3D69" w:rsidTr="11448424" w14:paraId="2A61C7F5" w14:textId="77777777">
        <w:tc>
          <w:tcPr>
            <w:tcW w:w="851" w:type="dxa"/>
            <w:tcMar/>
          </w:tcPr>
          <w:p w:rsidRPr="00E561BF" w:rsidR="001F3D69" w:rsidRDefault="00CC4030" w14:paraId="7D9CF647" w14:textId="30D1D1DF">
            <w:pPr>
              <w:rPr>
                <w:rFonts w:ascii="Amira Light" w:hAnsi="Amira Light"/>
              </w:rPr>
            </w:pPr>
            <w:r w:rsidRPr="00E561BF">
              <w:rPr>
                <w:rFonts w:ascii="Amira Light" w:hAnsi="Amira Light"/>
              </w:rPr>
              <w:t>1</w:t>
            </w:r>
          </w:p>
        </w:tc>
        <w:tc>
          <w:tcPr>
            <w:tcW w:w="7372" w:type="dxa"/>
            <w:tcMar/>
          </w:tcPr>
          <w:p w:rsidRPr="00E561BF" w:rsidR="001F3D69" w:rsidRDefault="001943A5" w14:paraId="09A0FD34" w14:textId="6EE22293">
            <w:pPr>
              <w:rPr>
                <w:rFonts w:ascii="Amira Light" w:hAnsi="Amira Light"/>
              </w:rPr>
            </w:pPr>
            <w:r w:rsidRPr="001943A5">
              <w:rPr>
                <w:rFonts w:ascii="Amira Light" w:hAnsi="Amira Light"/>
              </w:rPr>
              <w:t>Have the architect, Activity Planner and other key consultants now been appointed? If so, would you be able to confirm the current consultant team and whether the existing Activity Planner will continue into the Development Phase?</w:t>
            </w:r>
          </w:p>
        </w:tc>
        <w:tc>
          <w:tcPr>
            <w:tcW w:w="7796" w:type="dxa"/>
            <w:tcMar/>
          </w:tcPr>
          <w:p w:rsidRPr="00E561BF" w:rsidR="0023775F" w:rsidP="00FE127A" w:rsidRDefault="00FE127A" w14:paraId="001E6DAA" w14:textId="3877EB6A">
            <w:pPr>
              <w:rPr>
                <w:rFonts w:ascii="Amira Light" w:hAnsi="Amira Light"/>
              </w:rPr>
            </w:pPr>
            <w:r w:rsidRPr="00FE127A">
              <w:rPr>
                <w:rFonts w:ascii="Amira Light" w:hAnsi="Amira Light"/>
              </w:rPr>
              <w:t>The Benton End project team is currently in the process of appointing a lead architect, multidisciplinary design team, quantity surveyor, and other specialist consultants. The original author of the Activity Plan, Julia Holberry, has now retired, and the Activity Plan consultancy was subsequently re-tendered. Claire Adler Associates has been appointed as the new Activity Plan consultant.</w:t>
            </w:r>
          </w:p>
        </w:tc>
      </w:tr>
      <w:tr w:rsidRPr="00E561BF" w:rsidR="0023775F" w:rsidTr="11448424" w14:paraId="0BD125E4" w14:textId="77777777">
        <w:tc>
          <w:tcPr>
            <w:tcW w:w="851" w:type="dxa"/>
            <w:tcMar/>
          </w:tcPr>
          <w:p w:rsidRPr="00E561BF" w:rsidR="0023775F" w:rsidRDefault="0023775F" w14:paraId="741A5755" w14:textId="16F9A895">
            <w:pPr>
              <w:rPr>
                <w:rFonts w:ascii="Amira Light" w:hAnsi="Amira Light"/>
              </w:rPr>
            </w:pPr>
            <w:r>
              <w:rPr>
                <w:rFonts w:ascii="Amira Light" w:hAnsi="Amira Light"/>
              </w:rPr>
              <w:t>2</w:t>
            </w:r>
          </w:p>
        </w:tc>
        <w:tc>
          <w:tcPr>
            <w:tcW w:w="7372" w:type="dxa"/>
            <w:tcMar/>
          </w:tcPr>
          <w:p w:rsidRPr="00291920" w:rsidR="0023775F" w:rsidP="00F0613E" w:rsidRDefault="000347A6" w14:paraId="319540EE" w14:textId="57133E14">
            <w:pPr>
              <w:rPr>
                <w:rFonts w:ascii="Amira Light" w:hAnsi="Amira Light"/>
              </w:rPr>
            </w:pPr>
            <w:r w:rsidRPr="000347A6">
              <w:rPr>
                <w:rFonts w:ascii="Amira Light" w:hAnsi="Amira Light"/>
              </w:rPr>
              <w:t xml:space="preserve">The documentation refers to a considerable body of existing research, including the Conservation Statement, Outline Activity Plan, Garden </w:t>
            </w:r>
            <w:r w:rsidRPr="000347A6">
              <w:rPr>
                <w:rFonts w:ascii="Amira Light" w:hAnsi="Amira Light"/>
              </w:rPr>
              <w:lastRenderedPageBreak/>
              <w:t>Significance reports and pilot projects. Could you confirm which of these documents (and any other relevant research) will be available to the appointed Interpretation Consultant?</w:t>
            </w:r>
          </w:p>
        </w:tc>
        <w:tc>
          <w:tcPr>
            <w:tcW w:w="7796" w:type="dxa"/>
            <w:tcMar/>
          </w:tcPr>
          <w:p w:rsidR="0023775F" w:rsidP="0023775F" w:rsidRDefault="000E6283" w14:paraId="56B93DB6" w14:textId="0BC85B43">
            <w:pPr>
              <w:rPr>
                <w:rFonts w:ascii="Amira Light" w:hAnsi="Amira Light"/>
              </w:rPr>
            </w:pPr>
            <w:r w:rsidRPr="000E6283">
              <w:rPr>
                <w:rFonts w:ascii="Amira Light" w:hAnsi="Amira Light"/>
              </w:rPr>
              <w:lastRenderedPageBreak/>
              <w:t xml:space="preserve">All of the above will be made available. The majority are also included as supporting appendices. </w:t>
            </w:r>
            <w:hyperlink w:history="1" r:id="rId10">
              <w:r w:rsidRPr="00A1018B">
                <w:rPr>
                  <w:rStyle w:val="Hyperlink"/>
                  <w:rFonts w:ascii="Amira Light" w:hAnsi="Amira Light"/>
                </w:rPr>
                <w:t>https://www.gardenmuseum.org.uk/career/consultant-brief-interpretation-design-benton-end-revived/</w:t>
              </w:r>
            </w:hyperlink>
          </w:p>
          <w:p w:rsidRPr="0023775F" w:rsidR="000E6283" w:rsidP="0023775F" w:rsidRDefault="000E6283" w14:paraId="45E8B76A" w14:textId="66F444CC">
            <w:pPr>
              <w:rPr>
                <w:rFonts w:ascii="Amira Light" w:hAnsi="Amira Light"/>
              </w:rPr>
            </w:pPr>
          </w:p>
        </w:tc>
      </w:tr>
      <w:tr w:rsidRPr="00E561BF" w:rsidR="0023775F" w:rsidTr="11448424" w14:paraId="7E69CB9F" w14:textId="77777777">
        <w:tc>
          <w:tcPr>
            <w:tcW w:w="851" w:type="dxa"/>
            <w:tcMar/>
          </w:tcPr>
          <w:p w:rsidRPr="00E561BF" w:rsidR="0023775F" w:rsidRDefault="0023775F" w14:paraId="5AA34861" w14:textId="02C529E9">
            <w:pPr>
              <w:rPr>
                <w:rFonts w:ascii="Amira Light" w:hAnsi="Amira Light"/>
              </w:rPr>
            </w:pPr>
            <w:r>
              <w:rPr>
                <w:rFonts w:ascii="Amira Light" w:hAnsi="Amira Light"/>
              </w:rPr>
              <w:lastRenderedPageBreak/>
              <w:t>3</w:t>
            </w:r>
          </w:p>
        </w:tc>
        <w:tc>
          <w:tcPr>
            <w:tcW w:w="7372" w:type="dxa"/>
            <w:tcMar/>
          </w:tcPr>
          <w:p w:rsidRPr="00291920" w:rsidR="0023775F" w:rsidP="00BD7675" w:rsidRDefault="00FF6258" w14:paraId="451CA933" w14:textId="2608CCE1">
            <w:pPr>
              <w:rPr>
                <w:rFonts w:ascii="Amira Light" w:hAnsi="Amira Light"/>
              </w:rPr>
            </w:pPr>
            <w:r w:rsidRPr="00FF6258">
              <w:rPr>
                <w:rFonts w:ascii="Amira Light" w:hAnsi="Amira Light"/>
              </w:rPr>
              <w:t>Has any previous interpretation strategy, narrative framework or interpretive planning work been undertaken as part of the earlier Heritage Fund stages that will form the basis for this commission?</w:t>
            </w:r>
          </w:p>
        </w:tc>
        <w:tc>
          <w:tcPr>
            <w:tcW w:w="7796" w:type="dxa"/>
            <w:tcMar/>
          </w:tcPr>
          <w:p w:rsidRPr="0023775F" w:rsidR="0023775F" w:rsidP="0023775F" w:rsidRDefault="00FF6258" w14:paraId="7793DBF2" w14:textId="16B4B563">
            <w:pPr>
              <w:rPr>
                <w:rFonts w:ascii="Amira Light" w:hAnsi="Amira Light"/>
              </w:rPr>
            </w:pPr>
            <w:r>
              <w:rPr>
                <w:rFonts w:ascii="Amira Light" w:hAnsi="Amira Light"/>
              </w:rPr>
              <w:t>No</w:t>
            </w:r>
          </w:p>
        </w:tc>
      </w:tr>
      <w:tr w:rsidRPr="00E561BF" w:rsidR="00CA52B4" w:rsidTr="11448424" w14:paraId="2F2037B2" w14:textId="77777777">
        <w:tc>
          <w:tcPr>
            <w:tcW w:w="851" w:type="dxa"/>
            <w:tcMar/>
          </w:tcPr>
          <w:p w:rsidRPr="00E561BF" w:rsidR="00CA52B4" w:rsidP="00CA52B4" w:rsidRDefault="00CA52B4" w14:paraId="06295563" w14:textId="60E57196">
            <w:pPr>
              <w:rPr>
                <w:rFonts w:ascii="Amira Light" w:hAnsi="Amira Light"/>
              </w:rPr>
            </w:pPr>
            <w:r>
              <w:rPr>
                <w:rFonts w:ascii="Amira Light" w:hAnsi="Amira Light"/>
              </w:rPr>
              <w:t>4</w:t>
            </w:r>
          </w:p>
        </w:tc>
        <w:tc>
          <w:tcPr>
            <w:tcW w:w="7372" w:type="dxa"/>
            <w:tcMar/>
          </w:tcPr>
          <w:p w:rsidRPr="00291920" w:rsidR="00CA52B4" w:rsidP="009762D7" w:rsidRDefault="008A1B8C" w14:paraId="7ABD74B4" w14:textId="7BAD8310">
            <w:pPr>
              <w:rPr>
                <w:rFonts w:ascii="Amira Light" w:hAnsi="Amira Light"/>
              </w:rPr>
            </w:pPr>
            <w:r w:rsidRPr="008A1B8C">
              <w:rPr>
                <w:rFonts w:ascii="Amira Light" w:hAnsi="Amira Light"/>
              </w:rPr>
              <w:t>The Outline Activity Plan demonstrates substantial consultation, audience research and successful pilot projects with priority audiences. Will the appointed consultant be expected to build upon this existing work, or should we allow for further primary audience research and the establishment of new co-creation groups?</w:t>
            </w:r>
          </w:p>
        </w:tc>
        <w:tc>
          <w:tcPr>
            <w:tcW w:w="7796" w:type="dxa"/>
            <w:tcMar/>
          </w:tcPr>
          <w:p w:rsidRPr="0023775F" w:rsidR="00CA52B4" w:rsidP="00CA52B4" w:rsidRDefault="00A60018" w14:paraId="51331101" w14:textId="2FAFA430">
            <w:pPr>
              <w:rPr>
                <w:rFonts w:ascii="Amira Light" w:hAnsi="Amira Light"/>
              </w:rPr>
            </w:pPr>
            <w:r w:rsidRPr="00A60018">
              <w:rPr>
                <w:rFonts w:ascii="Amira Light" w:hAnsi="Amira Light"/>
              </w:rPr>
              <w:t>The majority of this work will be developed in collaboration with the Activity Plan Consultant. However, we would expect the appointed consultant to engage with key stakeholders and co-creation groups as an integral part of the commission.</w:t>
            </w:r>
          </w:p>
        </w:tc>
      </w:tr>
      <w:tr w:rsidRPr="00E561BF" w:rsidR="001315E3" w:rsidTr="11448424" w14:paraId="149DAE28" w14:textId="77777777">
        <w:tc>
          <w:tcPr>
            <w:tcW w:w="851" w:type="dxa"/>
            <w:tcMar/>
          </w:tcPr>
          <w:p w:rsidRPr="00E561BF" w:rsidR="001315E3" w:rsidP="001315E3" w:rsidRDefault="001315E3" w14:paraId="4C3F00D0" w14:textId="4A4CD54C">
            <w:pPr>
              <w:rPr>
                <w:rFonts w:ascii="Amira Light" w:hAnsi="Amira Light"/>
              </w:rPr>
            </w:pPr>
            <w:r>
              <w:rPr>
                <w:rFonts w:ascii="Amira Light" w:hAnsi="Amira Light"/>
              </w:rPr>
              <w:t>5</w:t>
            </w:r>
          </w:p>
        </w:tc>
        <w:tc>
          <w:tcPr>
            <w:tcW w:w="7372" w:type="dxa"/>
            <w:tcMar/>
          </w:tcPr>
          <w:p w:rsidRPr="00291920" w:rsidR="001315E3" w:rsidP="009762D7" w:rsidRDefault="005A3476" w14:paraId="280F0D59" w14:textId="6E1E271E">
            <w:pPr>
              <w:rPr>
                <w:rFonts w:ascii="Amira Light" w:hAnsi="Amira Light"/>
              </w:rPr>
            </w:pPr>
            <w:r w:rsidRPr="005A3476">
              <w:rPr>
                <w:rFonts w:ascii="Amira Light" w:hAnsi="Amira Light"/>
              </w:rPr>
              <w:t xml:space="preserve">Are there existing community partners, stakeholder groups or representative organisations already engaged with the project that the Interpretation Consultant will be working alongside during the Development Phase? </w:t>
            </w:r>
          </w:p>
        </w:tc>
        <w:tc>
          <w:tcPr>
            <w:tcW w:w="7796" w:type="dxa"/>
            <w:tcMar/>
          </w:tcPr>
          <w:p w:rsidRPr="0023775F" w:rsidR="001315E3" w:rsidP="001315E3" w:rsidRDefault="005A3476" w14:paraId="647FC461" w14:textId="3E7623AA">
            <w:pPr>
              <w:rPr>
                <w:rFonts w:ascii="Amira Light" w:hAnsi="Amira Light"/>
              </w:rPr>
            </w:pPr>
            <w:r>
              <w:rPr>
                <w:rFonts w:ascii="Amira Light" w:hAnsi="Amira Light"/>
              </w:rPr>
              <w:t>Yes</w:t>
            </w:r>
          </w:p>
        </w:tc>
      </w:tr>
      <w:tr w:rsidRPr="00E561BF" w:rsidR="001315E3" w:rsidTr="11448424" w14:paraId="3294F14B" w14:textId="77777777">
        <w:tc>
          <w:tcPr>
            <w:tcW w:w="851" w:type="dxa"/>
            <w:tcMar/>
          </w:tcPr>
          <w:p w:rsidRPr="00E561BF" w:rsidR="001315E3" w:rsidP="001315E3" w:rsidRDefault="001315E3" w14:paraId="22C8DE11" w14:textId="05E4DB15">
            <w:pPr>
              <w:rPr>
                <w:rFonts w:ascii="Amira Light" w:hAnsi="Amira Light"/>
              </w:rPr>
            </w:pPr>
            <w:r>
              <w:rPr>
                <w:rFonts w:ascii="Amira Light" w:hAnsi="Amira Light"/>
              </w:rPr>
              <w:t>6</w:t>
            </w:r>
          </w:p>
        </w:tc>
        <w:tc>
          <w:tcPr>
            <w:tcW w:w="7372" w:type="dxa"/>
            <w:tcMar/>
          </w:tcPr>
          <w:p w:rsidRPr="00291920" w:rsidR="001315E3" w:rsidP="009762D7" w:rsidRDefault="00D14949" w14:paraId="0EFBE8E0" w14:textId="6D7A1DFF">
            <w:pPr>
              <w:rPr>
                <w:rFonts w:ascii="Amira Light" w:hAnsi="Amira Light"/>
              </w:rPr>
            </w:pPr>
            <w:r w:rsidRPr="00D14949">
              <w:rPr>
                <w:rFonts w:ascii="Amira Light" w:hAnsi="Amira Light"/>
              </w:rPr>
              <w:t>The brief includes researching the stories of Benton End, Cedric Morris, Arthur Lett-Haines and the wider cast of artists, students and visitors. Could you provide a little more guidance on the anticipated extent of this research? In particular, should we assume that this commission will primarily synthesise and interpret the existing body of research, with targeted additional investigation where required, or is a more substantial programme of original historical research anticipated?</w:t>
            </w:r>
          </w:p>
        </w:tc>
        <w:tc>
          <w:tcPr>
            <w:tcW w:w="7796" w:type="dxa"/>
            <w:tcMar/>
          </w:tcPr>
          <w:p w:rsidRPr="0023775F" w:rsidR="001315E3" w:rsidP="001315E3" w:rsidRDefault="00F654D5" w14:paraId="7121A3C7" w14:textId="497EF64C">
            <w:pPr>
              <w:rPr>
                <w:rFonts w:ascii="Amira Light" w:hAnsi="Amira Light"/>
              </w:rPr>
            </w:pPr>
            <w:r w:rsidRPr="00F654D5">
              <w:rPr>
                <w:rFonts w:ascii="Amira Light" w:hAnsi="Amira Light"/>
              </w:rPr>
              <w:t>At this stage, please define a price and allocated days to primarily synthesise and interpret the existing body of research, with targeted additional investigation where required.</w:t>
            </w:r>
          </w:p>
        </w:tc>
      </w:tr>
      <w:tr w:rsidRPr="00E561BF" w:rsidR="00CC32CB" w:rsidTr="11448424" w14:paraId="05AE6E7B" w14:textId="77777777">
        <w:tc>
          <w:tcPr>
            <w:tcW w:w="851" w:type="dxa"/>
            <w:tcMar/>
          </w:tcPr>
          <w:p w:rsidR="00CC32CB" w:rsidP="00CC32CB" w:rsidRDefault="00CC32CB" w14:paraId="52202CBC" w14:textId="2B9374F7">
            <w:pPr>
              <w:rPr>
                <w:rFonts w:ascii="Amira Light" w:hAnsi="Amira Light"/>
              </w:rPr>
            </w:pPr>
            <w:r>
              <w:rPr>
                <w:rFonts w:ascii="Amira Light" w:hAnsi="Amira Light"/>
              </w:rPr>
              <w:t>7</w:t>
            </w:r>
          </w:p>
        </w:tc>
        <w:tc>
          <w:tcPr>
            <w:tcW w:w="7372" w:type="dxa"/>
            <w:tcMar/>
          </w:tcPr>
          <w:p w:rsidRPr="000F2D5E" w:rsidR="00CC32CB" w:rsidP="009762D7" w:rsidRDefault="00BC27DA" w14:paraId="3760F925" w14:textId="733673B4">
            <w:pPr>
              <w:rPr>
                <w:rFonts w:cs="Arial"/>
                <w:sz w:val="22"/>
              </w:rPr>
            </w:pPr>
            <w:r w:rsidRPr="00BC27DA">
              <w:rPr>
                <w:rFonts w:cs="Arial"/>
                <w:sz w:val="22"/>
              </w:rPr>
              <w:t>Section 3 - Scope - is there an academic/specialist advisory team on the client side with regards to historical and botanical content ?</w:t>
            </w:r>
          </w:p>
        </w:tc>
        <w:tc>
          <w:tcPr>
            <w:tcW w:w="7796" w:type="dxa"/>
            <w:tcMar/>
          </w:tcPr>
          <w:p w:rsidR="00CC32CB" w:rsidP="00CC32CB" w:rsidRDefault="001A0DE8" w14:paraId="1E42D9E8" w14:textId="07AF1965">
            <w:pPr>
              <w:rPr>
                <w:rFonts w:cs="Arial"/>
                <w:sz w:val="22"/>
              </w:rPr>
            </w:pPr>
            <w:r w:rsidRPr="001A0DE8">
              <w:rPr>
                <w:rFonts w:cs="Arial"/>
                <w:sz w:val="22"/>
              </w:rPr>
              <w:t>The project team consists of a consultant preparing the Conservation Management Plan, conservation-accredited architects, and other relevant specialists. We will also procure the services of a landscape designer. In addition, the Head Gardener, together with other stakeholders and consultees, will provide specialist input on the botanical and historical content. The interpretation design consultant will also be expected to undertake their own research to inform the interpretation content as part of this commission.</w:t>
            </w:r>
          </w:p>
        </w:tc>
      </w:tr>
      <w:tr w:rsidRPr="00E561BF" w:rsidR="00F654D5" w:rsidTr="11448424" w14:paraId="761BFD41" w14:textId="77777777">
        <w:tc>
          <w:tcPr>
            <w:tcW w:w="851" w:type="dxa"/>
            <w:tcMar/>
          </w:tcPr>
          <w:p w:rsidR="00F654D5" w:rsidP="00CC32CB" w:rsidRDefault="006C43F1" w14:paraId="11E42AA8" w14:textId="04A41E43">
            <w:pPr>
              <w:rPr>
                <w:rFonts w:ascii="Amira Light" w:hAnsi="Amira Light"/>
              </w:rPr>
            </w:pPr>
            <w:r>
              <w:rPr>
                <w:rFonts w:ascii="Amira Light" w:hAnsi="Amira Light"/>
              </w:rPr>
              <w:lastRenderedPageBreak/>
              <w:t>8</w:t>
            </w:r>
          </w:p>
        </w:tc>
        <w:tc>
          <w:tcPr>
            <w:tcW w:w="7372" w:type="dxa"/>
            <w:tcMar/>
          </w:tcPr>
          <w:p w:rsidRPr="000F2D5E" w:rsidR="00F654D5" w:rsidP="009762D7" w:rsidRDefault="00513810" w14:paraId="794527D3" w14:textId="1511A639">
            <w:pPr>
              <w:rPr>
                <w:rFonts w:cs="Arial"/>
                <w:sz w:val="22"/>
              </w:rPr>
            </w:pPr>
            <w:r w:rsidRPr="00513810">
              <w:rPr>
                <w:rFonts w:cs="Arial"/>
                <w:sz w:val="22"/>
              </w:rPr>
              <w:t>Section 6 - the brief states that the consultants will engage with heritage advisers to ensure consistency with listed status - are these advisers already appointed or would we be required to identify them ?</w:t>
            </w:r>
          </w:p>
        </w:tc>
        <w:tc>
          <w:tcPr>
            <w:tcW w:w="7796" w:type="dxa"/>
            <w:tcMar/>
          </w:tcPr>
          <w:p w:rsidR="00F654D5" w:rsidP="00CC32CB" w:rsidRDefault="006C43F1" w14:paraId="6D15BDB7" w14:textId="65F860BD">
            <w:pPr>
              <w:rPr>
                <w:rFonts w:cs="Arial"/>
                <w:sz w:val="22"/>
              </w:rPr>
            </w:pPr>
            <w:r w:rsidRPr="006C43F1">
              <w:rPr>
                <w:rFonts w:cs="Arial"/>
                <w:sz w:val="22"/>
              </w:rPr>
              <w:t>The Benton End project team is currently in the process of appointing and engaging the necessary heritage advisers. Their appointment is being managed separately and does not form part of the interpretation design tender.</w:t>
            </w:r>
          </w:p>
        </w:tc>
      </w:tr>
      <w:tr w:rsidRPr="00E561BF" w:rsidR="00F654D5" w:rsidTr="11448424" w14:paraId="40F3C3E4" w14:textId="77777777">
        <w:tc>
          <w:tcPr>
            <w:tcW w:w="851" w:type="dxa"/>
            <w:tcMar/>
          </w:tcPr>
          <w:p w:rsidR="00F654D5" w:rsidP="00CC32CB" w:rsidRDefault="006C43F1" w14:paraId="501BE35E" w14:textId="27299D86">
            <w:pPr>
              <w:rPr>
                <w:rFonts w:ascii="Amira Light" w:hAnsi="Amira Light"/>
              </w:rPr>
            </w:pPr>
            <w:r>
              <w:rPr>
                <w:rFonts w:ascii="Amira Light" w:hAnsi="Amira Light"/>
              </w:rPr>
              <w:t>9</w:t>
            </w:r>
          </w:p>
        </w:tc>
        <w:tc>
          <w:tcPr>
            <w:tcW w:w="7372" w:type="dxa"/>
            <w:tcMar/>
          </w:tcPr>
          <w:p w:rsidRPr="000F2D5E" w:rsidR="00F654D5" w:rsidP="009762D7" w:rsidRDefault="00784994" w14:paraId="58EE8016" w14:textId="7A1AC3CE">
            <w:pPr>
              <w:rPr>
                <w:rFonts w:cs="Arial"/>
                <w:sz w:val="22"/>
              </w:rPr>
            </w:pPr>
            <w:r w:rsidRPr="00784994">
              <w:rPr>
                <w:rFonts w:cs="Arial"/>
                <w:sz w:val="22"/>
              </w:rPr>
              <w:t>Section 7 - would you envisage there being regular meetings in the development phase and if so would this be monthly. and would they extend throughout this phase, October 2026 through to August 2027? Would interpretation consultants be expected to join the mid-stage NLHF review ?</w:t>
            </w:r>
          </w:p>
        </w:tc>
        <w:tc>
          <w:tcPr>
            <w:tcW w:w="7796" w:type="dxa"/>
            <w:tcMar/>
          </w:tcPr>
          <w:p w:rsidR="00F654D5" w:rsidP="00CC32CB" w:rsidRDefault="00C83A79" w14:paraId="50B4BE42" w14:textId="0F678DA4">
            <w:pPr>
              <w:rPr>
                <w:rFonts w:cs="Arial"/>
                <w:sz w:val="22"/>
              </w:rPr>
            </w:pPr>
            <w:r w:rsidRPr="00C83A79">
              <w:rPr>
                <w:rFonts w:cs="Arial"/>
                <w:sz w:val="22"/>
              </w:rPr>
              <w:t>Yes, we would expect monthly design team meetings and attendance at the mid stage review.</w:t>
            </w:r>
          </w:p>
        </w:tc>
      </w:tr>
      <w:tr w:rsidRPr="00E561BF" w:rsidR="00F654D5" w:rsidTr="11448424" w14:paraId="13EC69A0" w14:textId="77777777">
        <w:tc>
          <w:tcPr>
            <w:tcW w:w="851" w:type="dxa"/>
            <w:tcMar/>
          </w:tcPr>
          <w:p w:rsidR="00F654D5" w:rsidP="00CC32CB" w:rsidRDefault="006C43F1" w14:paraId="3C611AB2" w14:textId="724BBA27">
            <w:pPr>
              <w:rPr>
                <w:rFonts w:ascii="Amira Light" w:hAnsi="Amira Light"/>
              </w:rPr>
            </w:pPr>
            <w:r>
              <w:rPr>
                <w:rFonts w:ascii="Amira Light" w:hAnsi="Amira Light"/>
              </w:rPr>
              <w:t>10</w:t>
            </w:r>
          </w:p>
        </w:tc>
        <w:tc>
          <w:tcPr>
            <w:tcW w:w="7372" w:type="dxa"/>
            <w:tcMar/>
          </w:tcPr>
          <w:p w:rsidRPr="000F2D5E" w:rsidR="00F654D5" w:rsidP="009762D7" w:rsidRDefault="00FA5CA2" w14:paraId="7449FC66" w14:textId="5592391F">
            <w:pPr>
              <w:rPr>
                <w:rFonts w:cs="Arial"/>
                <w:sz w:val="22"/>
              </w:rPr>
            </w:pPr>
            <w:r w:rsidRPr="00FA5CA2">
              <w:rPr>
                <w:rFonts w:cs="Arial"/>
                <w:sz w:val="22"/>
              </w:rPr>
              <w:t>The Delivery Phase installation budget is stated as £100,000 excl. VAT. Given the scope covers permanent exhibition layouts, display cases, graphics, interactive tactile elements, and wayfinding across a historic house and garden, is this budget expected to cover all physical fabrication, or are AV hardware and specialist lighting procurement handled under a separate budget?</w:t>
            </w:r>
          </w:p>
        </w:tc>
        <w:tc>
          <w:tcPr>
            <w:tcW w:w="7796" w:type="dxa"/>
            <w:tcMar/>
          </w:tcPr>
          <w:p w:rsidR="00F654D5" w:rsidP="00CC32CB" w:rsidRDefault="00220BB7" w14:paraId="5564B7CF" w14:textId="57E8D65A">
            <w:pPr>
              <w:rPr>
                <w:rFonts w:cs="Arial"/>
                <w:sz w:val="22"/>
              </w:rPr>
            </w:pPr>
            <w:r w:rsidRPr="00220BB7">
              <w:rPr>
                <w:rFonts w:cs="Arial"/>
                <w:sz w:val="22"/>
              </w:rPr>
              <w:t>Containment for specialist AV and lighting installations is assumed to be provided under a separate budget. However, the specialist AV and lighting equipment and associated outputs should be included within the £100,000 fit-out budget.</w:t>
            </w:r>
          </w:p>
        </w:tc>
      </w:tr>
      <w:tr w:rsidRPr="00E561BF" w:rsidR="00F654D5" w:rsidTr="11448424" w14:paraId="11C64DCE" w14:textId="77777777">
        <w:tc>
          <w:tcPr>
            <w:tcW w:w="851" w:type="dxa"/>
            <w:tcMar/>
          </w:tcPr>
          <w:p w:rsidR="00F654D5" w:rsidP="00CC32CB" w:rsidRDefault="006C43F1" w14:paraId="1575B390" w14:textId="28158F69">
            <w:pPr>
              <w:rPr>
                <w:rFonts w:ascii="Amira Light" w:hAnsi="Amira Light"/>
              </w:rPr>
            </w:pPr>
            <w:r>
              <w:rPr>
                <w:rFonts w:ascii="Amira Light" w:hAnsi="Amira Light"/>
              </w:rPr>
              <w:t>11</w:t>
            </w:r>
          </w:p>
        </w:tc>
        <w:tc>
          <w:tcPr>
            <w:tcW w:w="7372" w:type="dxa"/>
            <w:tcMar/>
          </w:tcPr>
          <w:p w:rsidRPr="000F2D5E" w:rsidR="00F654D5" w:rsidP="009762D7" w:rsidRDefault="00242917" w14:paraId="5F764E90" w14:textId="396E8592">
            <w:pPr>
              <w:rPr>
                <w:rFonts w:cs="Arial"/>
                <w:sz w:val="22"/>
              </w:rPr>
            </w:pPr>
            <w:r w:rsidRPr="00242917">
              <w:rPr>
                <w:rFonts w:cs="Arial"/>
                <w:sz w:val="22"/>
              </w:rPr>
              <w:t>The brief highlights co-creation workshops with target audiences. Will the logistics, venue hire, and participant recruitment/remuneration for these workshops be managed and funded by the Client Team, or should the design consultant factor these costs into the £20,000 Development Phase fee?</w:t>
            </w:r>
          </w:p>
        </w:tc>
        <w:tc>
          <w:tcPr>
            <w:tcW w:w="7796" w:type="dxa"/>
            <w:tcMar/>
          </w:tcPr>
          <w:p w:rsidR="00F654D5" w:rsidP="00CC32CB" w:rsidRDefault="00FA5C62" w14:paraId="58B0CD71" w14:textId="2FB198B8">
            <w:pPr>
              <w:rPr>
                <w:rFonts w:cs="Arial"/>
                <w:sz w:val="22"/>
              </w:rPr>
            </w:pPr>
            <w:r w:rsidRPr="00FA5C62">
              <w:rPr>
                <w:rFonts w:cs="Arial"/>
                <w:sz w:val="22"/>
              </w:rPr>
              <w:t>Co-creation workshops can be facilitated at Benton End and should be led by the appointed Interpretation Design Consultant. It is not anticipated that participant remuneration will be required, as we have established strong working relationships with our target audiences and key local stakeholders.</w:t>
            </w:r>
          </w:p>
        </w:tc>
      </w:tr>
      <w:tr w:rsidRPr="00E561BF" w:rsidR="00F654D5" w:rsidTr="11448424" w14:paraId="124557E3" w14:textId="77777777">
        <w:tc>
          <w:tcPr>
            <w:tcW w:w="851" w:type="dxa"/>
            <w:tcMar/>
          </w:tcPr>
          <w:p w:rsidR="00F654D5" w:rsidP="00CC32CB" w:rsidRDefault="006C43F1" w14:paraId="14189983" w14:textId="457B3101">
            <w:pPr>
              <w:rPr>
                <w:rFonts w:ascii="Amira Light" w:hAnsi="Amira Light"/>
              </w:rPr>
            </w:pPr>
            <w:r>
              <w:rPr>
                <w:rFonts w:ascii="Amira Light" w:hAnsi="Amira Light"/>
              </w:rPr>
              <w:t>12</w:t>
            </w:r>
          </w:p>
        </w:tc>
        <w:tc>
          <w:tcPr>
            <w:tcW w:w="7372" w:type="dxa"/>
            <w:tcMar/>
          </w:tcPr>
          <w:p w:rsidRPr="000F2D5E" w:rsidR="00F654D5" w:rsidP="009762D7" w:rsidRDefault="0087586A" w14:paraId="0EC5F336" w14:textId="1506A991">
            <w:pPr>
              <w:rPr>
                <w:rFonts w:cs="Arial"/>
                <w:sz w:val="22"/>
              </w:rPr>
            </w:pPr>
            <w:r w:rsidRPr="0087586A">
              <w:rPr>
                <w:rFonts w:cs="Arial"/>
                <w:sz w:val="22"/>
              </w:rPr>
              <w:t>For the Delivery Phase, the brief notes the consultant will "appoint and manage suppliers." Will the fabricators be sub-contracted directly under the Interpretation Designer's appointment, or will the designer write the specifications to tender the fit-out contract on behalf of the Garden Museum, with the client holding the direct contract with the contractor?</w:t>
            </w:r>
          </w:p>
        </w:tc>
        <w:tc>
          <w:tcPr>
            <w:tcW w:w="7796" w:type="dxa"/>
            <w:tcMar/>
          </w:tcPr>
          <w:p w:rsidR="00F654D5" w:rsidP="00CC32CB" w:rsidRDefault="00770CD4" w14:paraId="5B101012" w14:textId="4D2E211E">
            <w:pPr>
              <w:rPr>
                <w:rFonts w:cs="Arial"/>
                <w:sz w:val="22"/>
              </w:rPr>
            </w:pPr>
            <w:r w:rsidRPr="00770CD4">
              <w:rPr>
                <w:rFonts w:cs="Arial"/>
                <w:sz w:val="22"/>
              </w:rPr>
              <w:t>For the purposes of this tender, please assume that the appointed designer will prepare the specifications and tender documentation for the fit-out contract on behalf of the Garden Museum, with the Garden Museum entering into a direct contract with the appointed fit-out contractor.</w:t>
            </w:r>
          </w:p>
        </w:tc>
      </w:tr>
      <w:tr w:rsidRPr="00E561BF" w:rsidR="00F654D5" w:rsidTr="11448424" w14:paraId="62F628FA" w14:textId="77777777">
        <w:tc>
          <w:tcPr>
            <w:tcW w:w="851" w:type="dxa"/>
            <w:tcMar/>
          </w:tcPr>
          <w:p w:rsidR="00F654D5" w:rsidP="00CC32CB" w:rsidRDefault="006C43F1" w14:paraId="3A0D46C0" w14:textId="6F23D97F">
            <w:pPr>
              <w:rPr>
                <w:rFonts w:ascii="Amira Light" w:hAnsi="Amira Light"/>
              </w:rPr>
            </w:pPr>
            <w:r>
              <w:rPr>
                <w:rFonts w:ascii="Amira Light" w:hAnsi="Amira Light"/>
              </w:rPr>
              <w:t>13</w:t>
            </w:r>
          </w:p>
        </w:tc>
        <w:tc>
          <w:tcPr>
            <w:tcW w:w="7372" w:type="dxa"/>
            <w:tcMar/>
          </w:tcPr>
          <w:p w:rsidRPr="000F2D5E" w:rsidR="00F654D5" w:rsidP="009762D7" w:rsidRDefault="00CF086B" w14:paraId="2A60086C" w14:textId="79ED3EC1">
            <w:pPr>
              <w:rPr>
                <w:rFonts w:cs="Arial"/>
                <w:sz w:val="22"/>
              </w:rPr>
            </w:pPr>
            <w:r w:rsidRPr="00CF086B">
              <w:rPr>
                <w:rFonts w:cs="Arial"/>
                <w:sz w:val="22"/>
              </w:rPr>
              <w:t>The brief mentions lighting design, is this a role we need to consider within the interpretation design team or will a lighting designer be appointed by the lead architect for collaboration?</w:t>
            </w:r>
          </w:p>
        </w:tc>
        <w:tc>
          <w:tcPr>
            <w:tcW w:w="7796" w:type="dxa"/>
            <w:tcMar/>
          </w:tcPr>
          <w:p w:rsidR="00F654D5" w:rsidP="00CC32CB" w:rsidRDefault="004C12CA" w14:paraId="412FD473" w14:textId="0A305B03">
            <w:pPr>
              <w:rPr>
                <w:rFonts w:cs="Arial"/>
                <w:sz w:val="22"/>
              </w:rPr>
            </w:pPr>
            <w:r w:rsidRPr="004C12CA">
              <w:rPr>
                <w:rFonts w:cs="Arial"/>
                <w:sz w:val="22"/>
              </w:rPr>
              <w:t>The architect and multidisciplinary design team will lead the lighting design; however, specialist input will be required throughout design meetings to ensure the proposed solution is appropriate and fully meets the requirements of the interpretation brief.</w:t>
            </w:r>
          </w:p>
        </w:tc>
      </w:tr>
      <w:tr w:rsidRPr="00E561BF" w:rsidR="00F654D5" w:rsidTr="11448424" w14:paraId="2295829B" w14:textId="77777777">
        <w:tc>
          <w:tcPr>
            <w:tcW w:w="851" w:type="dxa"/>
            <w:tcMar/>
          </w:tcPr>
          <w:p w:rsidR="00F654D5" w:rsidP="00CC32CB" w:rsidRDefault="006C43F1" w14:paraId="111A4156" w14:textId="566CD9C4">
            <w:pPr>
              <w:rPr>
                <w:rFonts w:ascii="Amira Light" w:hAnsi="Amira Light"/>
              </w:rPr>
            </w:pPr>
            <w:r>
              <w:rPr>
                <w:rFonts w:ascii="Amira Light" w:hAnsi="Amira Light"/>
              </w:rPr>
              <w:t>14</w:t>
            </w:r>
          </w:p>
        </w:tc>
        <w:tc>
          <w:tcPr>
            <w:tcW w:w="7372" w:type="dxa"/>
            <w:tcMar/>
          </w:tcPr>
          <w:p w:rsidRPr="000F2D5E" w:rsidR="00F654D5" w:rsidP="009762D7" w:rsidRDefault="003F24C3" w14:paraId="37494819" w14:textId="52961DB6">
            <w:pPr>
              <w:rPr>
                <w:rFonts w:cs="Arial"/>
                <w:sz w:val="22"/>
              </w:rPr>
            </w:pPr>
            <w:r w:rsidRPr="003F24C3">
              <w:rPr>
                <w:rFonts w:cs="Arial"/>
                <w:sz w:val="22"/>
              </w:rPr>
              <w:t>Is there a more detailed brief for the interpretation / exhibition elements other than what’s included in the Tender pack?</w:t>
            </w:r>
          </w:p>
        </w:tc>
        <w:tc>
          <w:tcPr>
            <w:tcW w:w="7796" w:type="dxa"/>
            <w:tcMar/>
          </w:tcPr>
          <w:p w:rsidR="00F654D5" w:rsidP="00CC32CB" w:rsidRDefault="003F24C3" w14:paraId="115FC858" w14:textId="62D47CA1">
            <w:pPr>
              <w:rPr>
                <w:rFonts w:cs="Arial"/>
                <w:sz w:val="22"/>
              </w:rPr>
            </w:pPr>
            <w:r>
              <w:rPr>
                <w:rFonts w:cs="Arial"/>
                <w:sz w:val="22"/>
              </w:rPr>
              <w:t>No</w:t>
            </w:r>
          </w:p>
        </w:tc>
      </w:tr>
      <w:tr w:rsidRPr="00E561BF" w:rsidR="00F654D5" w:rsidTr="11448424" w14:paraId="380316D5" w14:textId="77777777">
        <w:tc>
          <w:tcPr>
            <w:tcW w:w="851" w:type="dxa"/>
            <w:tcMar/>
          </w:tcPr>
          <w:p w:rsidR="00F654D5" w:rsidP="00CC32CB" w:rsidRDefault="006C43F1" w14:paraId="50A2BF3A" w14:textId="5CF6A89F">
            <w:pPr>
              <w:rPr>
                <w:rFonts w:ascii="Amira Light" w:hAnsi="Amira Light"/>
              </w:rPr>
            </w:pPr>
            <w:r>
              <w:rPr>
                <w:rFonts w:ascii="Amira Light" w:hAnsi="Amira Light"/>
              </w:rPr>
              <w:t>15</w:t>
            </w:r>
          </w:p>
        </w:tc>
        <w:tc>
          <w:tcPr>
            <w:tcW w:w="7372" w:type="dxa"/>
            <w:tcMar/>
          </w:tcPr>
          <w:p w:rsidRPr="000F2D5E" w:rsidR="00F654D5" w:rsidP="009762D7" w:rsidRDefault="006C19DC" w14:paraId="0E8EEE96" w14:textId="36C41E61">
            <w:pPr>
              <w:rPr>
                <w:rFonts w:cs="Arial"/>
                <w:sz w:val="22"/>
              </w:rPr>
            </w:pPr>
            <w:r w:rsidRPr="006C19DC">
              <w:rPr>
                <w:rFonts w:cs="Arial"/>
                <w:sz w:val="22"/>
              </w:rPr>
              <w:t>Are there scaled plans that can be made available so as to understand the extent of display required? ie how many rooms / gallery spaces. Are you able to give a total SQM area for the displays inside the house?</w:t>
            </w:r>
          </w:p>
        </w:tc>
        <w:tc>
          <w:tcPr>
            <w:tcW w:w="7796" w:type="dxa"/>
            <w:tcMar/>
          </w:tcPr>
          <w:p w:rsidR="00F654D5" w:rsidP="00CC32CB" w:rsidRDefault="00211A0C" w14:paraId="1C63B428" w14:textId="77246407">
            <w:pPr>
              <w:rPr>
                <w:rFonts w:cs="Arial"/>
                <w:sz w:val="22"/>
              </w:rPr>
            </w:pPr>
            <w:r w:rsidRPr="00211A0C">
              <w:rPr>
                <w:rFonts w:cs="Arial"/>
                <w:sz w:val="22"/>
              </w:rPr>
              <w:t xml:space="preserve">At this stage, we are unable to provide a scaled measured survey, as this work is currently underway and is expected to be completed within the next four weeks. The final locations of interpretation spaces, fixtures, and other internal elements </w:t>
            </w:r>
            <w:r w:rsidRPr="00211A0C">
              <w:rPr>
                <w:rFonts w:cs="Arial"/>
                <w:sz w:val="22"/>
              </w:rPr>
              <w:lastRenderedPageBreak/>
              <w:t>have not yet been confirmed. These will be developed and refined through the forthcoming RIBA design stages as the design progresses.</w:t>
            </w:r>
          </w:p>
        </w:tc>
      </w:tr>
      <w:tr w:rsidRPr="00E561BF" w:rsidR="00211A0C" w:rsidTr="11448424" w14:paraId="317D79E2" w14:textId="77777777">
        <w:tc>
          <w:tcPr>
            <w:tcW w:w="851" w:type="dxa"/>
            <w:tcMar/>
          </w:tcPr>
          <w:p w:rsidR="00211A0C" w:rsidP="00CC32CB" w:rsidRDefault="00211A0C" w14:paraId="75B1BAFF" w14:textId="0C8A46AD">
            <w:pPr>
              <w:rPr>
                <w:rFonts w:ascii="Amira Light" w:hAnsi="Amira Light"/>
              </w:rPr>
            </w:pPr>
            <w:r>
              <w:rPr>
                <w:rFonts w:ascii="Amira Light" w:hAnsi="Amira Light"/>
              </w:rPr>
              <w:lastRenderedPageBreak/>
              <w:t>16</w:t>
            </w:r>
          </w:p>
        </w:tc>
        <w:tc>
          <w:tcPr>
            <w:tcW w:w="7372" w:type="dxa"/>
            <w:tcMar/>
          </w:tcPr>
          <w:p w:rsidRPr="006C19DC" w:rsidR="00211A0C" w:rsidP="009762D7" w:rsidRDefault="00761878" w14:paraId="3E5FBE6D" w14:textId="0DCEE7C7">
            <w:pPr>
              <w:rPr>
                <w:rFonts w:cs="Arial"/>
                <w:sz w:val="22"/>
              </w:rPr>
            </w:pPr>
            <w:r w:rsidRPr="00761878">
              <w:rPr>
                <w:rFonts w:cs="Arial"/>
                <w:sz w:val="22"/>
              </w:rPr>
              <w:t>Display cases: is there a large collection of objects, or is the project object-light.</w:t>
            </w:r>
          </w:p>
        </w:tc>
        <w:tc>
          <w:tcPr>
            <w:tcW w:w="7796" w:type="dxa"/>
            <w:tcMar/>
          </w:tcPr>
          <w:p w:rsidRPr="00211A0C" w:rsidR="00211A0C" w:rsidP="11448424" w:rsidRDefault="00620EC2" w14:paraId="7A1923C0" w14:textId="6CB13B17">
            <w:pPr>
              <w:rPr>
                <w:rFonts w:cs="Arial"/>
                <w:sz w:val="22"/>
                <w:szCs w:val="22"/>
              </w:rPr>
            </w:pPr>
            <w:r w:rsidRPr="11448424" w:rsidR="41B2FBB3">
              <w:rPr>
                <w:rFonts w:cs="Arial"/>
                <w:sz w:val="22"/>
                <w:szCs w:val="22"/>
              </w:rPr>
              <w:t xml:space="preserve">There </w:t>
            </w:r>
            <w:r w:rsidRPr="11448424" w:rsidR="41B2FBB3">
              <w:rPr>
                <w:rFonts w:cs="Arial"/>
                <w:sz w:val="22"/>
                <w:szCs w:val="22"/>
              </w:rPr>
              <w:t>are</w:t>
            </w:r>
            <w:r w:rsidRPr="11448424" w:rsidR="41B2FBB3">
              <w:rPr>
                <w:rFonts w:cs="Arial"/>
                <w:sz w:val="22"/>
                <w:szCs w:val="22"/>
              </w:rPr>
              <w:t xml:space="preserve"> c. 8,000 items in the Garden Museum collection, the majority of which are photographs, postcards, seed packets, and gardening tools which tell the story of the history of gardening and garden design. </w:t>
            </w:r>
            <w:r w:rsidRPr="11448424" w:rsidR="41B2FBB3">
              <w:rPr>
                <w:rFonts w:cs="Arial"/>
                <w:sz w:val="22"/>
                <w:szCs w:val="22"/>
              </w:rPr>
              <w:t>Nearly 500</w:t>
            </w:r>
            <w:r w:rsidRPr="11448424" w:rsidR="41B2FBB3">
              <w:rPr>
                <w:rFonts w:cs="Arial"/>
                <w:sz w:val="22"/>
                <w:szCs w:val="22"/>
              </w:rPr>
              <w:t xml:space="preserve"> items in the collection are works of art, </w:t>
            </w:r>
            <w:r w:rsidRPr="11448424" w:rsidR="41B2FBB3">
              <w:rPr>
                <w:rFonts w:cs="Arial"/>
                <w:sz w:val="22"/>
                <w:szCs w:val="22"/>
              </w:rPr>
              <w:t>comprising</w:t>
            </w:r>
            <w:r w:rsidRPr="11448424" w:rsidR="41B2FBB3">
              <w:rPr>
                <w:rFonts w:cs="Arial"/>
                <w:sz w:val="22"/>
                <w:szCs w:val="22"/>
              </w:rPr>
              <w:t xml:space="preserve"> graphic posters and prints, as well as drawings, and paintings in oil, </w:t>
            </w:r>
            <w:r w:rsidRPr="11448424" w:rsidR="41B2FBB3">
              <w:rPr>
                <w:rFonts w:cs="Arial"/>
                <w:sz w:val="22"/>
                <w:szCs w:val="22"/>
              </w:rPr>
              <w:t>acrylic</w:t>
            </w:r>
            <w:r w:rsidRPr="11448424" w:rsidR="41B2FBB3">
              <w:rPr>
                <w:rFonts w:cs="Arial"/>
                <w:sz w:val="22"/>
                <w:szCs w:val="22"/>
              </w:rPr>
              <w:t xml:space="preserve"> and gouache. 60 artworks are on display in the new galleries</w:t>
            </w:r>
            <w:r w:rsidRPr="11448424" w:rsidR="2DC66849">
              <w:rPr>
                <w:rFonts w:cs="Arial"/>
                <w:sz w:val="22"/>
                <w:szCs w:val="22"/>
              </w:rPr>
              <w:t xml:space="preserve"> (at the Garden Museum, Lambeth)</w:t>
            </w:r>
            <w:r w:rsidRPr="11448424" w:rsidR="41B2FBB3">
              <w:rPr>
                <w:rFonts w:cs="Arial"/>
                <w:sz w:val="22"/>
                <w:szCs w:val="22"/>
              </w:rPr>
              <w:t xml:space="preserve"> opened with the support of the Heritage Fund in 2017. The restoration and re-modelling of Benton End would enable us to display a further 75 artworks and objects from our specialist collection, which are currently in store, more than doubling what we can show to the public at any one time. Because these works are mostly artworks that can be hung directly on the walls of Benton End, the need for display cases will be limited to a couple of museum rooms where we might show selected mixed media works, books and documents.</w:t>
            </w:r>
          </w:p>
        </w:tc>
      </w:tr>
      <w:tr w:rsidRPr="00E561BF" w:rsidR="00211A0C" w:rsidTr="11448424" w14:paraId="217467C2" w14:textId="77777777">
        <w:tc>
          <w:tcPr>
            <w:tcW w:w="851" w:type="dxa"/>
            <w:tcMar/>
          </w:tcPr>
          <w:p w:rsidR="00211A0C" w:rsidP="00CC32CB" w:rsidRDefault="00211A0C" w14:paraId="7463A02D" w14:textId="5E314007">
            <w:pPr>
              <w:rPr>
                <w:rFonts w:ascii="Amira Light" w:hAnsi="Amira Light"/>
              </w:rPr>
            </w:pPr>
            <w:r>
              <w:rPr>
                <w:rFonts w:ascii="Amira Light" w:hAnsi="Amira Light"/>
              </w:rPr>
              <w:t>17</w:t>
            </w:r>
          </w:p>
        </w:tc>
        <w:tc>
          <w:tcPr>
            <w:tcW w:w="7372" w:type="dxa"/>
            <w:tcMar/>
          </w:tcPr>
          <w:p w:rsidRPr="006C19DC" w:rsidR="00211A0C" w:rsidP="009762D7" w:rsidRDefault="00422440" w14:paraId="2D04CA78" w14:textId="5964CC2B">
            <w:pPr>
              <w:rPr>
                <w:rFonts w:cs="Arial"/>
                <w:sz w:val="22"/>
              </w:rPr>
            </w:pPr>
            <w:r w:rsidRPr="00422440">
              <w:rPr>
                <w:rFonts w:cs="Arial"/>
                <w:sz w:val="22"/>
              </w:rPr>
              <w:t>Does the interpretation extend outside in to the gardens?</w:t>
            </w:r>
          </w:p>
        </w:tc>
        <w:tc>
          <w:tcPr>
            <w:tcW w:w="7796" w:type="dxa"/>
            <w:tcMar/>
          </w:tcPr>
          <w:p w:rsidRPr="00211A0C" w:rsidR="00211A0C" w:rsidP="00CC32CB" w:rsidRDefault="00442BA9" w14:paraId="2BD83BA1" w14:textId="6444EA40">
            <w:pPr>
              <w:rPr>
                <w:rFonts w:cs="Arial"/>
                <w:sz w:val="22"/>
              </w:rPr>
            </w:pPr>
            <w:r w:rsidRPr="00442BA9">
              <w:rPr>
                <w:rFonts w:cs="Arial"/>
                <w:sz w:val="22"/>
              </w:rPr>
              <w:t>Yes, ideally, but fairly low impact not to detract from the beauty of the gardens.</w:t>
            </w:r>
          </w:p>
        </w:tc>
      </w:tr>
      <w:tr w:rsidRPr="00E561BF" w:rsidR="00211A0C" w:rsidTr="11448424" w14:paraId="7AB76DC7" w14:textId="77777777">
        <w:tc>
          <w:tcPr>
            <w:tcW w:w="851" w:type="dxa"/>
            <w:tcMar/>
          </w:tcPr>
          <w:p w:rsidR="00211A0C" w:rsidP="00CC32CB" w:rsidRDefault="00211A0C" w14:paraId="700D6D86" w14:textId="117F0089">
            <w:pPr>
              <w:rPr>
                <w:rFonts w:ascii="Amira Light" w:hAnsi="Amira Light"/>
              </w:rPr>
            </w:pPr>
            <w:r>
              <w:rPr>
                <w:rFonts w:ascii="Amira Light" w:hAnsi="Amira Light"/>
              </w:rPr>
              <w:t>18</w:t>
            </w:r>
          </w:p>
        </w:tc>
        <w:tc>
          <w:tcPr>
            <w:tcW w:w="7372" w:type="dxa"/>
            <w:tcMar/>
          </w:tcPr>
          <w:p w:rsidRPr="006C19DC" w:rsidR="00211A0C" w:rsidP="009762D7" w:rsidRDefault="00B4798E" w14:paraId="4E2FAABC" w14:textId="3908DFAF">
            <w:pPr>
              <w:rPr>
                <w:rFonts w:cs="Arial"/>
                <w:sz w:val="22"/>
              </w:rPr>
            </w:pPr>
            <w:r w:rsidRPr="00B4798E">
              <w:rPr>
                <w:rFonts w:cs="Arial"/>
                <w:sz w:val="22"/>
              </w:rPr>
              <w:t>Should Way-finding be included as well as interpretive graphics?</w:t>
            </w:r>
          </w:p>
        </w:tc>
        <w:tc>
          <w:tcPr>
            <w:tcW w:w="7796" w:type="dxa"/>
            <w:tcMar/>
          </w:tcPr>
          <w:p w:rsidRPr="00211A0C" w:rsidR="00211A0C" w:rsidP="00CC32CB" w:rsidRDefault="00984D76" w14:paraId="15B5CE48" w14:textId="1A1D60F0">
            <w:pPr>
              <w:rPr>
                <w:rFonts w:cs="Arial"/>
                <w:sz w:val="22"/>
              </w:rPr>
            </w:pPr>
            <w:r w:rsidRPr="00984D76">
              <w:rPr>
                <w:rFonts w:cs="Arial"/>
                <w:sz w:val="22"/>
              </w:rPr>
              <w:t>Yes, alongside architectural wayfinding.</w:t>
            </w:r>
          </w:p>
        </w:tc>
      </w:tr>
      <w:tr w:rsidRPr="00E561BF" w:rsidR="00211A0C" w:rsidTr="11448424" w14:paraId="526FF2EE" w14:textId="77777777">
        <w:tc>
          <w:tcPr>
            <w:tcW w:w="851" w:type="dxa"/>
            <w:tcMar/>
          </w:tcPr>
          <w:p w:rsidR="00211A0C" w:rsidP="00CC32CB" w:rsidRDefault="00211A0C" w14:paraId="7F71C9C6" w14:textId="632642A1">
            <w:pPr>
              <w:rPr>
                <w:rFonts w:ascii="Amira Light" w:hAnsi="Amira Light"/>
              </w:rPr>
            </w:pPr>
            <w:r>
              <w:rPr>
                <w:rFonts w:ascii="Amira Light" w:hAnsi="Amira Light"/>
              </w:rPr>
              <w:t>19</w:t>
            </w:r>
          </w:p>
        </w:tc>
        <w:tc>
          <w:tcPr>
            <w:tcW w:w="7372" w:type="dxa"/>
            <w:tcMar/>
          </w:tcPr>
          <w:p w:rsidRPr="006C19DC" w:rsidR="00211A0C" w:rsidP="009762D7" w:rsidRDefault="00253E86" w14:paraId="4B56A059" w14:textId="712D3389">
            <w:pPr>
              <w:rPr>
                <w:rFonts w:cs="Arial"/>
                <w:sz w:val="22"/>
              </w:rPr>
            </w:pPr>
            <w:r w:rsidRPr="00253E86">
              <w:rPr>
                <w:rFonts w:cs="Arial"/>
                <w:sz w:val="22"/>
              </w:rPr>
              <w:t>Audience consultation / Co-creation: can you expand on this scope ie how much is required, how many workshops? What is the scope/brief of the audience consultation work to be undertaken? Would we work with 1 collective group or 4 individual groups?</w:t>
            </w:r>
          </w:p>
        </w:tc>
        <w:tc>
          <w:tcPr>
            <w:tcW w:w="7796" w:type="dxa"/>
            <w:tcMar/>
          </w:tcPr>
          <w:p w:rsidRPr="00211A0C" w:rsidR="00211A0C" w:rsidP="00CC32CB" w:rsidRDefault="005E6F21" w14:paraId="55525411" w14:textId="4043CEF0">
            <w:pPr>
              <w:rPr>
                <w:rFonts w:cs="Arial"/>
                <w:sz w:val="22"/>
              </w:rPr>
            </w:pPr>
            <w:r w:rsidRPr="005E6F21">
              <w:rPr>
                <w:rFonts w:cs="Arial"/>
                <w:sz w:val="22"/>
              </w:rPr>
              <w:t xml:space="preserve">Co-creation workshops can be facilitated at Benton End and should be led by the appointed Interpretation Design Consultant. </w:t>
            </w:r>
            <w:r>
              <w:rPr>
                <w:rFonts w:cs="Arial"/>
                <w:sz w:val="22"/>
              </w:rPr>
              <w:t>W</w:t>
            </w:r>
            <w:r w:rsidRPr="005E6F21">
              <w:rPr>
                <w:rFonts w:cs="Arial"/>
                <w:sz w:val="22"/>
              </w:rPr>
              <w:t>e have established strong working relationships with our target audiences and key local stakeholders.</w:t>
            </w:r>
            <w:r>
              <w:rPr>
                <w:rFonts w:cs="Arial"/>
                <w:sz w:val="22"/>
              </w:rPr>
              <w:t xml:space="preserve"> Please confirm </w:t>
            </w:r>
            <w:r w:rsidR="00F974F2">
              <w:rPr>
                <w:rFonts w:cs="Arial"/>
                <w:sz w:val="22"/>
              </w:rPr>
              <w:t xml:space="preserve">the allowance for the consultation / co-creation within the  tender. </w:t>
            </w:r>
          </w:p>
        </w:tc>
      </w:tr>
      <w:tr w:rsidRPr="00E561BF" w:rsidR="00211A0C" w:rsidTr="11448424" w14:paraId="0D2BD15E" w14:textId="77777777">
        <w:tc>
          <w:tcPr>
            <w:tcW w:w="851" w:type="dxa"/>
            <w:tcMar/>
          </w:tcPr>
          <w:p w:rsidR="00211A0C" w:rsidP="00CC32CB" w:rsidRDefault="00211A0C" w14:paraId="2C1E14E0" w14:textId="4B5F4111">
            <w:pPr>
              <w:rPr>
                <w:rFonts w:ascii="Amira Light" w:hAnsi="Amira Light"/>
              </w:rPr>
            </w:pPr>
            <w:r>
              <w:rPr>
                <w:rFonts w:ascii="Amira Light" w:hAnsi="Amira Light"/>
              </w:rPr>
              <w:t>20</w:t>
            </w:r>
          </w:p>
        </w:tc>
        <w:tc>
          <w:tcPr>
            <w:tcW w:w="7372" w:type="dxa"/>
            <w:tcMar/>
          </w:tcPr>
          <w:p w:rsidRPr="006C19DC" w:rsidR="00211A0C" w:rsidP="009762D7" w:rsidRDefault="00FA1A11" w14:paraId="1913A4BA" w14:textId="0F2BC209">
            <w:pPr>
              <w:rPr>
                <w:rFonts w:cs="Arial"/>
                <w:sz w:val="22"/>
              </w:rPr>
            </w:pPr>
            <w:r w:rsidRPr="00FA1A11">
              <w:rPr>
                <w:rFonts w:cs="Arial"/>
                <w:sz w:val="22"/>
              </w:rPr>
              <w:t>Content development: is there a draft Interpretation plan in place already, or is this starting from scratch?</w:t>
            </w:r>
          </w:p>
        </w:tc>
        <w:tc>
          <w:tcPr>
            <w:tcW w:w="7796" w:type="dxa"/>
            <w:tcMar/>
          </w:tcPr>
          <w:p w:rsidRPr="00211A0C" w:rsidR="00211A0C" w:rsidP="00CC32CB" w:rsidRDefault="00F17655" w14:paraId="21A334C3" w14:textId="6D17CB69">
            <w:pPr>
              <w:rPr>
                <w:rFonts w:cs="Arial"/>
                <w:sz w:val="22"/>
              </w:rPr>
            </w:pPr>
            <w:r w:rsidRPr="00F17655">
              <w:rPr>
                <w:rFonts w:cs="Arial"/>
                <w:sz w:val="22"/>
              </w:rPr>
              <w:t>There is not a draft Interpretation plan in place already.</w:t>
            </w:r>
          </w:p>
        </w:tc>
      </w:tr>
      <w:tr w:rsidRPr="00E561BF" w:rsidR="00211A0C" w:rsidTr="11448424" w14:paraId="1E7321DE" w14:textId="77777777">
        <w:tc>
          <w:tcPr>
            <w:tcW w:w="851" w:type="dxa"/>
            <w:tcMar/>
          </w:tcPr>
          <w:p w:rsidR="00211A0C" w:rsidP="00CC32CB" w:rsidRDefault="00211A0C" w14:paraId="2955BEFF" w14:textId="372092AE">
            <w:pPr>
              <w:rPr>
                <w:rFonts w:ascii="Amira Light" w:hAnsi="Amira Light"/>
              </w:rPr>
            </w:pPr>
            <w:r>
              <w:rPr>
                <w:rFonts w:ascii="Amira Light" w:hAnsi="Amira Light"/>
              </w:rPr>
              <w:t>21</w:t>
            </w:r>
          </w:p>
        </w:tc>
        <w:tc>
          <w:tcPr>
            <w:tcW w:w="7372" w:type="dxa"/>
            <w:tcMar/>
          </w:tcPr>
          <w:p w:rsidRPr="006C19DC" w:rsidR="00211A0C" w:rsidP="009762D7" w:rsidRDefault="00743767" w14:paraId="598CF4C2" w14:textId="7C298A1C">
            <w:pPr>
              <w:rPr>
                <w:rFonts w:cs="Arial"/>
                <w:sz w:val="22"/>
              </w:rPr>
            </w:pPr>
            <w:r w:rsidRPr="00743767">
              <w:rPr>
                <w:rFonts w:cs="Arial"/>
                <w:sz w:val="22"/>
              </w:rPr>
              <w:t>Script-writing: would this be undertaken by someone on the client team, or should we include for this?</w:t>
            </w:r>
          </w:p>
        </w:tc>
        <w:tc>
          <w:tcPr>
            <w:tcW w:w="7796" w:type="dxa"/>
            <w:tcMar/>
          </w:tcPr>
          <w:p w:rsidRPr="00211A0C" w:rsidR="00211A0C" w:rsidP="11448424" w:rsidRDefault="00377CC0" w14:paraId="0F969231" w14:textId="3DFEC470">
            <w:pPr>
              <w:rPr>
                <w:rFonts w:cs="Arial"/>
                <w:sz w:val="22"/>
                <w:szCs w:val="22"/>
              </w:rPr>
            </w:pPr>
            <w:r w:rsidRPr="11448424" w:rsidR="180BEEE2">
              <w:rPr>
                <w:rFonts w:cs="Arial"/>
                <w:sz w:val="22"/>
                <w:szCs w:val="22"/>
              </w:rPr>
              <w:t>Please include</w:t>
            </w:r>
            <w:r w:rsidRPr="11448424" w:rsidR="205384D4">
              <w:rPr>
                <w:rFonts w:cs="Arial"/>
                <w:sz w:val="22"/>
                <w:szCs w:val="22"/>
              </w:rPr>
              <w:t xml:space="preserve"> allowances</w:t>
            </w:r>
            <w:r w:rsidRPr="11448424" w:rsidR="180BEEE2">
              <w:rPr>
                <w:rFonts w:cs="Arial"/>
                <w:sz w:val="22"/>
                <w:szCs w:val="22"/>
              </w:rPr>
              <w:t xml:space="preserve"> for all content development / script writing.</w:t>
            </w:r>
          </w:p>
        </w:tc>
      </w:tr>
      <w:tr w:rsidRPr="00E561BF" w:rsidR="00211A0C" w:rsidTr="11448424" w14:paraId="21BB5050" w14:textId="77777777">
        <w:tc>
          <w:tcPr>
            <w:tcW w:w="851" w:type="dxa"/>
            <w:tcMar/>
          </w:tcPr>
          <w:p w:rsidR="00211A0C" w:rsidP="00CC32CB" w:rsidRDefault="00211A0C" w14:paraId="17C594A8" w14:textId="003C50BA">
            <w:pPr>
              <w:rPr>
                <w:rFonts w:ascii="Amira Light" w:hAnsi="Amira Light"/>
              </w:rPr>
            </w:pPr>
            <w:r>
              <w:rPr>
                <w:rFonts w:ascii="Amira Light" w:hAnsi="Amira Light"/>
              </w:rPr>
              <w:t>22</w:t>
            </w:r>
          </w:p>
        </w:tc>
        <w:tc>
          <w:tcPr>
            <w:tcW w:w="7372" w:type="dxa"/>
            <w:tcMar/>
          </w:tcPr>
          <w:p w:rsidRPr="006C19DC" w:rsidR="00211A0C" w:rsidP="009762D7" w:rsidRDefault="000C3BF0" w14:paraId="11E4B405" w14:textId="3105C3DA">
            <w:pPr>
              <w:rPr>
                <w:rFonts w:cs="Arial"/>
                <w:sz w:val="22"/>
              </w:rPr>
            </w:pPr>
            <w:r w:rsidRPr="000C3BF0">
              <w:rPr>
                <w:rFonts w:cs="Arial"/>
                <w:sz w:val="22"/>
              </w:rPr>
              <w:t>CGI visuals: is this level of visualisation necessary? Would the client be open to simpler, more cost effective ways of visualising?</w:t>
            </w:r>
          </w:p>
        </w:tc>
        <w:tc>
          <w:tcPr>
            <w:tcW w:w="7796" w:type="dxa"/>
            <w:tcMar/>
          </w:tcPr>
          <w:p w:rsidRPr="00211A0C" w:rsidR="00211A0C" w:rsidP="00CC32CB" w:rsidRDefault="00D54474" w14:paraId="0DDAE622" w14:textId="0E806FCE">
            <w:pPr>
              <w:rPr>
                <w:rFonts w:cs="Arial"/>
                <w:sz w:val="22"/>
              </w:rPr>
            </w:pPr>
            <w:r w:rsidRPr="00D54474">
              <w:rPr>
                <w:rFonts w:cs="Arial"/>
                <w:sz w:val="22"/>
              </w:rPr>
              <w:t>Please clearly set out the scope of your pricing, including the assumptions and allowances made. Where appropriate, please also identify any alternative, cost-effective solutions that could be considered.</w:t>
            </w:r>
          </w:p>
        </w:tc>
      </w:tr>
      <w:tr w:rsidRPr="00E561BF" w:rsidR="00211A0C" w:rsidTr="11448424" w14:paraId="10402E91" w14:textId="77777777">
        <w:tc>
          <w:tcPr>
            <w:tcW w:w="851" w:type="dxa"/>
            <w:tcMar/>
          </w:tcPr>
          <w:p w:rsidR="00211A0C" w:rsidP="00CC32CB" w:rsidRDefault="00211A0C" w14:paraId="462218EA" w14:textId="673C3BAF">
            <w:pPr>
              <w:rPr>
                <w:rFonts w:ascii="Amira Light" w:hAnsi="Amira Light"/>
              </w:rPr>
            </w:pPr>
            <w:r>
              <w:rPr>
                <w:rFonts w:ascii="Amira Light" w:hAnsi="Amira Light"/>
              </w:rPr>
              <w:t>23</w:t>
            </w:r>
          </w:p>
        </w:tc>
        <w:tc>
          <w:tcPr>
            <w:tcW w:w="7372" w:type="dxa"/>
            <w:tcMar/>
          </w:tcPr>
          <w:p w:rsidRPr="006C19DC" w:rsidR="00211A0C" w:rsidP="009762D7" w:rsidRDefault="00066886" w14:paraId="25229D27" w14:textId="6C019FDD">
            <w:pPr>
              <w:rPr>
                <w:rFonts w:cs="Arial"/>
                <w:sz w:val="22"/>
              </w:rPr>
            </w:pPr>
            <w:r w:rsidRPr="00066886">
              <w:rPr>
                <w:rFonts w:cs="Arial"/>
                <w:sz w:val="22"/>
              </w:rPr>
              <w:t>Costing: Is there a project QS within the team, and if so do they have exhibition-related experience?</w:t>
            </w:r>
          </w:p>
        </w:tc>
        <w:tc>
          <w:tcPr>
            <w:tcW w:w="7796" w:type="dxa"/>
            <w:tcMar/>
          </w:tcPr>
          <w:p w:rsidRPr="00211A0C" w:rsidR="00211A0C" w:rsidP="00CC32CB" w:rsidRDefault="00051A7C" w14:paraId="3BF3BA55" w14:textId="509C0B4A">
            <w:pPr>
              <w:rPr>
                <w:rFonts w:cs="Arial"/>
                <w:sz w:val="22"/>
              </w:rPr>
            </w:pPr>
            <w:r w:rsidRPr="00051A7C">
              <w:rPr>
                <w:rFonts w:cs="Arial"/>
                <w:sz w:val="22"/>
              </w:rPr>
              <w:t>We are appointing a QS, and we would expect the company to have exhibition-related experience.</w:t>
            </w:r>
          </w:p>
        </w:tc>
      </w:tr>
      <w:tr w:rsidRPr="00E561BF" w:rsidR="00211A0C" w:rsidTr="11448424" w14:paraId="1CD44657" w14:textId="77777777">
        <w:tc>
          <w:tcPr>
            <w:tcW w:w="851" w:type="dxa"/>
            <w:tcMar/>
          </w:tcPr>
          <w:p w:rsidR="00211A0C" w:rsidP="00CC32CB" w:rsidRDefault="00211A0C" w14:paraId="6D1933B2" w14:textId="51C019BF">
            <w:pPr>
              <w:rPr>
                <w:rFonts w:ascii="Amira Light" w:hAnsi="Amira Light"/>
              </w:rPr>
            </w:pPr>
            <w:r>
              <w:rPr>
                <w:rFonts w:ascii="Amira Light" w:hAnsi="Amira Light"/>
              </w:rPr>
              <w:lastRenderedPageBreak/>
              <w:t>24</w:t>
            </w:r>
          </w:p>
        </w:tc>
        <w:tc>
          <w:tcPr>
            <w:tcW w:w="7372" w:type="dxa"/>
            <w:tcMar/>
          </w:tcPr>
          <w:p w:rsidRPr="006C19DC" w:rsidR="00211A0C" w:rsidP="009762D7" w:rsidRDefault="008C00B9" w14:paraId="7AE12A1F" w14:textId="1908E1A2">
            <w:pPr>
              <w:rPr>
                <w:rFonts w:cs="Arial"/>
                <w:sz w:val="22"/>
              </w:rPr>
            </w:pPr>
            <w:r w:rsidRPr="008C00B9">
              <w:rPr>
                <w:rFonts w:cs="Arial"/>
                <w:sz w:val="22"/>
              </w:rPr>
              <w:t xml:space="preserve">Please could you state who the client team comprise of?  </w:t>
            </w:r>
          </w:p>
        </w:tc>
        <w:tc>
          <w:tcPr>
            <w:tcW w:w="7796" w:type="dxa"/>
            <w:tcMar/>
          </w:tcPr>
          <w:p w:rsidRPr="00211A0C" w:rsidR="00211A0C" w:rsidP="00CC32CB" w:rsidRDefault="005645DF" w14:paraId="2B19EE36" w14:textId="4A5B3F11">
            <w:pPr>
              <w:rPr>
                <w:rFonts w:cs="Arial"/>
                <w:sz w:val="22"/>
              </w:rPr>
            </w:pPr>
            <w:r w:rsidRPr="005645DF">
              <w:rPr>
                <w:rFonts w:cs="Arial"/>
                <w:sz w:val="22"/>
              </w:rPr>
              <w:t xml:space="preserve">Beatrice Prosser-Snelling, Benton End, Project Director. Christopher Woodward, Garden Museum, Director. James Mellish. </w:t>
            </w:r>
            <w:r>
              <w:rPr>
                <w:rFonts w:cs="Arial"/>
                <w:sz w:val="22"/>
              </w:rPr>
              <w:t xml:space="preserve">Consultant </w:t>
            </w:r>
            <w:r w:rsidRPr="005645DF">
              <w:rPr>
                <w:rFonts w:cs="Arial"/>
                <w:sz w:val="22"/>
              </w:rPr>
              <w:t>Project Manager.</w:t>
            </w:r>
          </w:p>
        </w:tc>
      </w:tr>
      <w:tr w:rsidRPr="00E561BF" w:rsidR="00211A0C" w:rsidTr="11448424" w14:paraId="21B934FE" w14:textId="77777777">
        <w:tc>
          <w:tcPr>
            <w:tcW w:w="851" w:type="dxa"/>
            <w:tcMar/>
          </w:tcPr>
          <w:p w:rsidR="00211A0C" w:rsidP="00CC32CB" w:rsidRDefault="00211A0C" w14:paraId="4EC8FF1F" w14:textId="4A7C17B5">
            <w:pPr>
              <w:rPr>
                <w:rFonts w:ascii="Amira Light" w:hAnsi="Amira Light"/>
              </w:rPr>
            </w:pPr>
            <w:r>
              <w:rPr>
                <w:rFonts w:ascii="Amira Light" w:hAnsi="Amira Light"/>
              </w:rPr>
              <w:t>25</w:t>
            </w:r>
          </w:p>
        </w:tc>
        <w:tc>
          <w:tcPr>
            <w:tcW w:w="7372" w:type="dxa"/>
            <w:tcMar/>
          </w:tcPr>
          <w:p w:rsidRPr="006C19DC" w:rsidR="00211A0C" w:rsidP="009762D7" w:rsidRDefault="00ED5EA9" w14:paraId="0FF023AD" w14:textId="31ABC942">
            <w:pPr>
              <w:rPr>
                <w:rFonts w:cs="Arial"/>
                <w:sz w:val="22"/>
              </w:rPr>
            </w:pPr>
            <w:r w:rsidRPr="00ED5EA9">
              <w:rPr>
                <w:rFonts w:cs="Arial"/>
                <w:sz w:val="22"/>
              </w:rPr>
              <w:t>Has an Architect been appointed yet, and if so who are they?</w:t>
            </w:r>
          </w:p>
        </w:tc>
        <w:tc>
          <w:tcPr>
            <w:tcW w:w="7796" w:type="dxa"/>
            <w:tcMar/>
          </w:tcPr>
          <w:p w:rsidRPr="00211A0C" w:rsidR="00211A0C" w:rsidP="00CC32CB" w:rsidRDefault="0061588F" w14:paraId="0A956E68" w14:textId="03B213C5">
            <w:pPr>
              <w:rPr>
                <w:rFonts w:cs="Arial"/>
                <w:sz w:val="22"/>
              </w:rPr>
            </w:pPr>
            <w:r w:rsidRPr="0061588F">
              <w:rPr>
                <w:rFonts w:cs="Arial"/>
                <w:sz w:val="22"/>
              </w:rPr>
              <w:t>We are in the process of appointing an architect.</w:t>
            </w:r>
          </w:p>
        </w:tc>
      </w:tr>
      <w:tr w:rsidRPr="00E561BF" w:rsidR="0061588F" w:rsidTr="11448424" w14:paraId="0AD580A6" w14:textId="77777777">
        <w:tc>
          <w:tcPr>
            <w:tcW w:w="851" w:type="dxa"/>
            <w:tcMar/>
          </w:tcPr>
          <w:p w:rsidR="0061588F" w:rsidP="00CC32CB" w:rsidRDefault="00935D82" w14:paraId="30A8F495" w14:textId="6525B163">
            <w:pPr>
              <w:rPr>
                <w:rFonts w:ascii="Amira Light" w:hAnsi="Amira Light"/>
              </w:rPr>
            </w:pPr>
            <w:r>
              <w:rPr>
                <w:rFonts w:ascii="Amira Light" w:hAnsi="Amira Light"/>
              </w:rPr>
              <w:t>26</w:t>
            </w:r>
          </w:p>
        </w:tc>
        <w:tc>
          <w:tcPr>
            <w:tcW w:w="7372" w:type="dxa"/>
            <w:tcMar/>
          </w:tcPr>
          <w:p w:rsidRPr="00ED5EA9" w:rsidR="0061588F" w:rsidP="009762D7" w:rsidRDefault="00935D82" w14:paraId="5CBBC17B" w14:textId="2C24A791">
            <w:pPr>
              <w:rPr>
                <w:rFonts w:cs="Arial"/>
                <w:sz w:val="22"/>
              </w:rPr>
            </w:pPr>
            <w:r w:rsidRPr="00935D82">
              <w:rPr>
                <w:rFonts w:cs="Arial"/>
                <w:sz w:val="22"/>
              </w:rPr>
              <w:t>Is there a lighting designer as part of the architectural / wider design team, or are we to include a specialist exhibition lighting design consultant?</w:t>
            </w:r>
          </w:p>
        </w:tc>
        <w:tc>
          <w:tcPr>
            <w:tcW w:w="7796" w:type="dxa"/>
            <w:tcMar/>
          </w:tcPr>
          <w:p w:rsidRPr="0061588F" w:rsidR="0061588F" w:rsidP="00CC32CB" w:rsidRDefault="00BE3DE6" w14:paraId="29FA8538" w14:textId="07455837">
            <w:pPr>
              <w:rPr>
                <w:rFonts w:cs="Arial"/>
                <w:sz w:val="22"/>
              </w:rPr>
            </w:pPr>
            <w:r w:rsidRPr="00BE3DE6">
              <w:rPr>
                <w:rFonts w:cs="Arial"/>
                <w:sz w:val="22"/>
              </w:rPr>
              <w:t>This forms part of the Architects design, if required, however the interpretation design consultant may wish to feed into this process, as required.</w:t>
            </w:r>
          </w:p>
        </w:tc>
      </w:tr>
      <w:tr w:rsidRPr="00E561BF" w:rsidR="0061588F" w:rsidTr="11448424" w14:paraId="6143622D" w14:textId="77777777">
        <w:tc>
          <w:tcPr>
            <w:tcW w:w="851" w:type="dxa"/>
            <w:tcMar/>
          </w:tcPr>
          <w:p w:rsidR="0061588F" w:rsidP="00CC32CB" w:rsidRDefault="00935D82" w14:paraId="44C6E77C" w14:textId="622AC673">
            <w:pPr>
              <w:rPr>
                <w:rFonts w:ascii="Amira Light" w:hAnsi="Amira Light"/>
              </w:rPr>
            </w:pPr>
            <w:r>
              <w:rPr>
                <w:rFonts w:ascii="Amira Light" w:hAnsi="Amira Light"/>
              </w:rPr>
              <w:t>27</w:t>
            </w:r>
          </w:p>
        </w:tc>
        <w:tc>
          <w:tcPr>
            <w:tcW w:w="7372" w:type="dxa"/>
            <w:tcMar/>
          </w:tcPr>
          <w:p w:rsidRPr="00ED5EA9" w:rsidR="0061588F" w:rsidP="009762D7" w:rsidRDefault="0079773C" w14:paraId="1DAB53AB" w14:textId="0EEB6055">
            <w:pPr>
              <w:rPr>
                <w:rFonts w:cs="Arial"/>
                <w:sz w:val="22"/>
              </w:rPr>
            </w:pPr>
            <w:r w:rsidRPr="0079773C">
              <w:rPr>
                <w:rFonts w:cs="Arial"/>
                <w:sz w:val="22"/>
              </w:rPr>
              <w:t>Is there an AV / Digital consultant as part of the wider team?</w:t>
            </w:r>
          </w:p>
        </w:tc>
        <w:tc>
          <w:tcPr>
            <w:tcW w:w="7796" w:type="dxa"/>
            <w:tcMar/>
          </w:tcPr>
          <w:p w:rsidRPr="0061588F" w:rsidR="0061588F" w:rsidP="00CC32CB" w:rsidRDefault="00601860" w14:paraId="50B595DF" w14:textId="2D071C52">
            <w:pPr>
              <w:rPr>
                <w:rFonts w:cs="Arial"/>
                <w:sz w:val="22"/>
              </w:rPr>
            </w:pPr>
            <w:r w:rsidRPr="00601860">
              <w:rPr>
                <w:rFonts w:cs="Arial"/>
                <w:sz w:val="22"/>
              </w:rPr>
              <w:t>This forms part of the Architects design, if required, however the interpretation design consultant may wish to feed into this process, as required.</w:t>
            </w:r>
          </w:p>
        </w:tc>
      </w:tr>
      <w:tr w:rsidRPr="00E561BF" w:rsidR="0061588F" w:rsidTr="11448424" w14:paraId="767568B5" w14:textId="77777777">
        <w:tc>
          <w:tcPr>
            <w:tcW w:w="851" w:type="dxa"/>
            <w:tcMar/>
          </w:tcPr>
          <w:p w:rsidR="0061588F" w:rsidP="00CC32CB" w:rsidRDefault="00935D82" w14:paraId="79CBF297" w14:textId="4E721061">
            <w:pPr>
              <w:rPr>
                <w:rFonts w:ascii="Amira Light" w:hAnsi="Amira Light"/>
              </w:rPr>
            </w:pPr>
            <w:r>
              <w:rPr>
                <w:rFonts w:ascii="Amira Light" w:hAnsi="Amira Light"/>
              </w:rPr>
              <w:t>28</w:t>
            </w:r>
          </w:p>
        </w:tc>
        <w:tc>
          <w:tcPr>
            <w:tcW w:w="7372" w:type="dxa"/>
            <w:tcMar/>
          </w:tcPr>
          <w:p w:rsidRPr="001109FF" w:rsidR="001109FF" w:rsidP="001109FF" w:rsidRDefault="001109FF" w14:paraId="74E94F28" w14:textId="77777777">
            <w:pPr>
              <w:rPr>
                <w:rFonts w:cs="Arial"/>
                <w:sz w:val="22"/>
              </w:rPr>
            </w:pPr>
            <w:r w:rsidRPr="001109FF">
              <w:rPr>
                <w:rFonts w:cs="Arial"/>
                <w:sz w:val="22"/>
              </w:rPr>
              <w:t xml:space="preserve">In the activity plan it includes interpretation research with a community group (5 sessions) and a film made with an lgbt+ group. The plan states that there is a budget for both and to be managed by the learning officer. </w:t>
            </w:r>
          </w:p>
          <w:p w:rsidRPr="001109FF" w:rsidR="001109FF" w:rsidP="001109FF" w:rsidRDefault="001109FF" w14:paraId="358EAA04" w14:textId="77777777">
            <w:pPr>
              <w:rPr>
                <w:rFonts w:cs="Arial"/>
                <w:sz w:val="22"/>
              </w:rPr>
            </w:pPr>
            <w:r w:rsidRPr="001109FF">
              <w:rPr>
                <w:rFonts w:cs="Arial"/>
                <w:sz w:val="22"/>
              </w:rPr>
              <w:t xml:space="preserve">Who will be leading on these activities? </w:t>
            </w:r>
          </w:p>
          <w:p w:rsidRPr="001109FF" w:rsidR="001109FF" w:rsidP="001109FF" w:rsidRDefault="001109FF" w14:paraId="3D1D384A" w14:textId="77777777">
            <w:pPr>
              <w:rPr>
                <w:rFonts w:cs="Arial"/>
                <w:sz w:val="22"/>
              </w:rPr>
            </w:pPr>
            <w:r w:rsidRPr="001109FF">
              <w:rPr>
                <w:rFonts w:cs="Arial"/>
                <w:sz w:val="22"/>
              </w:rPr>
              <w:t>What is the role of the Interpretation consultant?</w:t>
            </w:r>
          </w:p>
          <w:p w:rsidRPr="00ED5EA9" w:rsidR="0061588F" w:rsidP="001109FF" w:rsidRDefault="001109FF" w14:paraId="20268990" w14:textId="25054ABF">
            <w:pPr>
              <w:rPr>
                <w:rFonts w:cs="Arial"/>
                <w:sz w:val="22"/>
              </w:rPr>
            </w:pPr>
            <w:r w:rsidRPr="001109FF">
              <w:rPr>
                <w:rFonts w:cs="Arial"/>
                <w:sz w:val="22"/>
              </w:rPr>
              <w:t>If it’s been led by others, should we assume to leave a gap for the outcome of these projects?</w:t>
            </w:r>
          </w:p>
        </w:tc>
        <w:tc>
          <w:tcPr>
            <w:tcW w:w="7796" w:type="dxa"/>
            <w:tcMar/>
          </w:tcPr>
          <w:p w:rsidRPr="0061588F" w:rsidR="0061588F" w:rsidP="00CC32CB" w:rsidRDefault="005879E5" w14:paraId="017812C9" w14:textId="2DA5C07E">
            <w:pPr>
              <w:rPr>
                <w:rFonts w:cs="Arial"/>
                <w:sz w:val="22"/>
              </w:rPr>
            </w:pPr>
            <w:r w:rsidRPr="005879E5">
              <w:rPr>
                <w:rFonts w:cs="Arial"/>
                <w:sz w:val="22"/>
              </w:rPr>
              <w:t xml:space="preserve">The </w:t>
            </w:r>
            <w:r>
              <w:rPr>
                <w:rFonts w:cs="Arial"/>
                <w:sz w:val="22"/>
              </w:rPr>
              <w:t xml:space="preserve">outline </w:t>
            </w:r>
            <w:r w:rsidRPr="005879E5">
              <w:rPr>
                <w:rFonts w:cs="Arial"/>
                <w:sz w:val="22"/>
              </w:rPr>
              <w:t xml:space="preserve">Activity Plan </w:t>
            </w:r>
            <w:r>
              <w:rPr>
                <w:rFonts w:cs="Arial"/>
                <w:sz w:val="22"/>
              </w:rPr>
              <w:t xml:space="preserve">was </w:t>
            </w:r>
            <w:r w:rsidRPr="005879E5">
              <w:rPr>
                <w:rFonts w:cs="Arial"/>
                <w:sz w:val="22"/>
              </w:rPr>
              <w:t>developed as part of the Development Phase application and will be further refined through the Development Phase ahead of the Delivery Phase application. Subject to securing Delivery Phase funding, the plan will be implemented during the Delivery Phase. Delivery activities are therefore outside the scope of the Development Phase, with the exception of any pilot activities, the details of which are yet to be confirmed.</w:t>
            </w:r>
          </w:p>
        </w:tc>
      </w:tr>
      <w:tr w:rsidRPr="00E561BF" w:rsidR="006035B4" w:rsidTr="11448424" w14:paraId="664D68E8" w14:textId="77777777">
        <w:tc>
          <w:tcPr>
            <w:tcW w:w="851" w:type="dxa"/>
            <w:tcMar/>
          </w:tcPr>
          <w:p w:rsidR="006035B4" w:rsidP="00CC32CB" w:rsidRDefault="006035B4" w14:paraId="357D7DE9" w14:textId="2F3A7D8E">
            <w:pPr>
              <w:rPr>
                <w:rFonts w:ascii="Amira Light" w:hAnsi="Amira Light"/>
              </w:rPr>
            </w:pPr>
            <w:r>
              <w:rPr>
                <w:rFonts w:ascii="Amira Light" w:hAnsi="Amira Light"/>
              </w:rPr>
              <w:t>29</w:t>
            </w:r>
          </w:p>
        </w:tc>
        <w:tc>
          <w:tcPr>
            <w:tcW w:w="7372" w:type="dxa"/>
            <w:tcMar/>
          </w:tcPr>
          <w:p w:rsidRPr="001109FF" w:rsidR="006035B4" w:rsidP="001109FF" w:rsidRDefault="006035B4" w14:paraId="2A541668" w14:textId="4B6B9597">
            <w:pPr>
              <w:rPr>
                <w:rFonts w:cs="Arial"/>
                <w:sz w:val="22"/>
              </w:rPr>
            </w:pPr>
            <w:r>
              <w:rPr>
                <w:rFonts w:cs="Arial"/>
                <w:sz w:val="22"/>
              </w:rPr>
              <w:t>W</w:t>
            </w:r>
            <w:r w:rsidRPr="006035B4">
              <w:rPr>
                <w:rFonts w:cs="Arial"/>
                <w:sz w:val="22"/>
              </w:rPr>
              <w:t>ill you be sharing all questions / clarifications with all tendering companies?</w:t>
            </w:r>
          </w:p>
        </w:tc>
        <w:tc>
          <w:tcPr>
            <w:tcW w:w="7796" w:type="dxa"/>
            <w:tcMar/>
          </w:tcPr>
          <w:p w:rsidRPr="005879E5" w:rsidR="006035B4" w:rsidP="11448424" w:rsidRDefault="006035B4" w14:paraId="76EC678C" w14:textId="22DA676A">
            <w:pPr>
              <w:rPr>
                <w:rFonts w:cs="Arial"/>
                <w:sz w:val="22"/>
                <w:szCs w:val="22"/>
              </w:rPr>
            </w:pPr>
            <w:r w:rsidRPr="11448424" w:rsidR="0B5F2081">
              <w:rPr>
                <w:rFonts w:cs="Arial"/>
                <w:sz w:val="22"/>
                <w:szCs w:val="22"/>
              </w:rPr>
              <w:t xml:space="preserve">Yes, </w:t>
            </w:r>
            <w:r w:rsidRPr="11448424" w:rsidR="14A4E6FD">
              <w:rPr>
                <w:rFonts w:cs="Arial"/>
                <w:sz w:val="22"/>
                <w:szCs w:val="22"/>
              </w:rPr>
              <w:t>hence</w:t>
            </w:r>
            <w:r w:rsidRPr="11448424" w:rsidR="72DDB76A">
              <w:rPr>
                <w:rFonts w:cs="Arial"/>
                <w:sz w:val="22"/>
                <w:szCs w:val="22"/>
              </w:rPr>
              <w:t xml:space="preserve"> </w:t>
            </w:r>
            <w:r w:rsidRPr="11448424" w:rsidR="72DDB76A">
              <w:rPr>
                <w:rFonts w:cs="Arial"/>
                <w:sz w:val="22"/>
                <w:szCs w:val="22"/>
              </w:rPr>
              <w:t>t</w:t>
            </w:r>
            <w:r w:rsidRPr="11448424" w:rsidR="0B5F2081">
              <w:rPr>
                <w:rFonts w:cs="Arial"/>
                <w:sz w:val="22"/>
                <w:szCs w:val="22"/>
              </w:rPr>
              <w:t>his document</w:t>
            </w:r>
            <w:r w:rsidRPr="11448424" w:rsidR="0B5F2081">
              <w:rPr>
                <w:rFonts w:cs="Arial"/>
                <w:sz w:val="22"/>
                <w:szCs w:val="22"/>
              </w:rPr>
              <w:t>.</w:t>
            </w:r>
          </w:p>
        </w:tc>
      </w:tr>
    </w:tbl>
    <w:p w:rsidRPr="00E561BF" w:rsidR="00BE40F4" w:rsidP="00BE40F4" w:rsidRDefault="00BE40F4" w14:paraId="605BA43D" w14:textId="77777777">
      <w:pPr>
        <w:rPr>
          <w:rFonts w:ascii="Amira Light" w:hAnsi="Amira Light"/>
        </w:rPr>
      </w:pPr>
    </w:p>
    <w:p w:rsidRPr="00E561BF" w:rsidR="00D81DD5" w:rsidP="00C240B1" w:rsidRDefault="005D1871" w14:paraId="5603D704" w14:textId="5690E658">
      <w:pPr>
        <w:rPr>
          <w:rFonts w:ascii="Amira Light" w:hAnsi="Amira Light"/>
        </w:rPr>
      </w:pPr>
      <w:r>
        <w:rPr>
          <w:rFonts w:ascii="Amira Light" w:hAnsi="Amira Light"/>
        </w:rPr>
        <w:t>END</w:t>
      </w:r>
    </w:p>
    <w:sectPr w:rsidRPr="00E561BF" w:rsidR="00D81DD5" w:rsidSect="001F3D6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ira Light">
    <w:altName w:val="Calibri"/>
    <w:panose1 w:val="00000000000000000000"/>
    <w:charset w:val="00"/>
    <w:family w:val="modern"/>
    <w:notTrueType/>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4FBC"/>
    <w:multiLevelType w:val="multilevel"/>
    <w:tmpl w:val="4E1AA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7014A"/>
    <w:multiLevelType w:val="multilevel"/>
    <w:tmpl w:val="699E5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649FC"/>
    <w:multiLevelType w:val="hybridMultilevel"/>
    <w:tmpl w:val="3858FB3A"/>
    <w:lvl w:ilvl="0" w:tplc="9482D966">
      <w:start w:val="6"/>
      <w:numFmt w:val="lowerLetter"/>
      <w:lvlText w:val="%1."/>
      <w:lvlJc w:val="left"/>
      <w:pPr>
        <w:tabs>
          <w:tab w:val="num" w:pos="720"/>
        </w:tabs>
        <w:ind w:left="720" w:hanging="360"/>
      </w:pPr>
    </w:lvl>
    <w:lvl w:ilvl="1" w:tplc="A412B954" w:tentative="1">
      <w:start w:val="1"/>
      <w:numFmt w:val="decimal"/>
      <w:lvlText w:val="%2."/>
      <w:lvlJc w:val="left"/>
      <w:pPr>
        <w:tabs>
          <w:tab w:val="num" w:pos="1440"/>
        </w:tabs>
        <w:ind w:left="1440" w:hanging="360"/>
      </w:pPr>
    </w:lvl>
    <w:lvl w:ilvl="2" w:tplc="47EED1E0" w:tentative="1">
      <w:start w:val="1"/>
      <w:numFmt w:val="decimal"/>
      <w:lvlText w:val="%3."/>
      <w:lvlJc w:val="left"/>
      <w:pPr>
        <w:tabs>
          <w:tab w:val="num" w:pos="2160"/>
        </w:tabs>
        <w:ind w:left="2160" w:hanging="360"/>
      </w:pPr>
    </w:lvl>
    <w:lvl w:ilvl="3" w:tplc="2144947A" w:tentative="1">
      <w:start w:val="1"/>
      <w:numFmt w:val="decimal"/>
      <w:lvlText w:val="%4."/>
      <w:lvlJc w:val="left"/>
      <w:pPr>
        <w:tabs>
          <w:tab w:val="num" w:pos="2880"/>
        </w:tabs>
        <w:ind w:left="2880" w:hanging="360"/>
      </w:pPr>
    </w:lvl>
    <w:lvl w:ilvl="4" w:tplc="AE72B9AA" w:tentative="1">
      <w:start w:val="1"/>
      <w:numFmt w:val="decimal"/>
      <w:lvlText w:val="%5."/>
      <w:lvlJc w:val="left"/>
      <w:pPr>
        <w:tabs>
          <w:tab w:val="num" w:pos="3600"/>
        </w:tabs>
        <w:ind w:left="3600" w:hanging="360"/>
      </w:pPr>
    </w:lvl>
    <w:lvl w:ilvl="5" w:tplc="3C1EDADE" w:tentative="1">
      <w:start w:val="1"/>
      <w:numFmt w:val="decimal"/>
      <w:lvlText w:val="%6."/>
      <w:lvlJc w:val="left"/>
      <w:pPr>
        <w:tabs>
          <w:tab w:val="num" w:pos="4320"/>
        </w:tabs>
        <w:ind w:left="4320" w:hanging="360"/>
      </w:pPr>
    </w:lvl>
    <w:lvl w:ilvl="6" w:tplc="38B83B08" w:tentative="1">
      <w:start w:val="1"/>
      <w:numFmt w:val="decimal"/>
      <w:lvlText w:val="%7."/>
      <w:lvlJc w:val="left"/>
      <w:pPr>
        <w:tabs>
          <w:tab w:val="num" w:pos="5040"/>
        </w:tabs>
        <w:ind w:left="5040" w:hanging="360"/>
      </w:pPr>
    </w:lvl>
    <w:lvl w:ilvl="7" w:tplc="0F34AF46" w:tentative="1">
      <w:start w:val="1"/>
      <w:numFmt w:val="decimal"/>
      <w:lvlText w:val="%8."/>
      <w:lvlJc w:val="left"/>
      <w:pPr>
        <w:tabs>
          <w:tab w:val="num" w:pos="5760"/>
        </w:tabs>
        <w:ind w:left="5760" w:hanging="360"/>
      </w:pPr>
    </w:lvl>
    <w:lvl w:ilvl="8" w:tplc="A6382A40" w:tentative="1">
      <w:start w:val="1"/>
      <w:numFmt w:val="decimal"/>
      <w:lvlText w:val="%9."/>
      <w:lvlJc w:val="left"/>
      <w:pPr>
        <w:tabs>
          <w:tab w:val="num" w:pos="6480"/>
        </w:tabs>
        <w:ind w:left="6480" w:hanging="360"/>
      </w:pPr>
    </w:lvl>
  </w:abstractNum>
  <w:abstractNum w:abstractNumId="3" w15:restartNumberingAfterBreak="0">
    <w:nsid w:val="197A1E5A"/>
    <w:multiLevelType w:val="multilevel"/>
    <w:tmpl w:val="2B9436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B52406"/>
    <w:multiLevelType w:val="hybridMultilevel"/>
    <w:tmpl w:val="5B7282D4"/>
    <w:lvl w:ilvl="0" w:tplc="88C2049E">
      <w:start w:val="6"/>
      <w:numFmt w:val="lowerLetter"/>
      <w:lvlText w:val="%1."/>
      <w:lvlJc w:val="left"/>
      <w:pPr>
        <w:tabs>
          <w:tab w:val="num" w:pos="720"/>
        </w:tabs>
        <w:ind w:left="720" w:hanging="360"/>
      </w:pPr>
    </w:lvl>
    <w:lvl w:ilvl="1" w:tplc="71B228AE" w:tentative="1">
      <w:start w:val="1"/>
      <w:numFmt w:val="decimal"/>
      <w:lvlText w:val="%2."/>
      <w:lvlJc w:val="left"/>
      <w:pPr>
        <w:tabs>
          <w:tab w:val="num" w:pos="1440"/>
        </w:tabs>
        <w:ind w:left="1440" w:hanging="360"/>
      </w:pPr>
    </w:lvl>
    <w:lvl w:ilvl="2" w:tplc="19D41F1E" w:tentative="1">
      <w:start w:val="1"/>
      <w:numFmt w:val="decimal"/>
      <w:lvlText w:val="%3."/>
      <w:lvlJc w:val="left"/>
      <w:pPr>
        <w:tabs>
          <w:tab w:val="num" w:pos="2160"/>
        </w:tabs>
        <w:ind w:left="2160" w:hanging="360"/>
      </w:pPr>
    </w:lvl>
    <w:lvl w:ilvl="3" w:tplc="38326328" w:tentative="1">
      <w:start w:val="1"/>
      <w:numFmt w:val="decimal"/>
      <w:lvlText w:val="%4."/>
      <w:lvlJc w:val="left"/>
      <w:pPr>
        <w:tabs>
          <w:tab w:val="num" w:pos="2880"/>
        </w:tabs>
        <w:ind w:left="2880" w:hanging="360"/>
      </w:pPr>
    </w:lvl>
    <w:lvl w:ilvl="4" w:tplc="8436795C" w:tentative="1">
      <w:start w:val="1"/>
      <w:numFmt w:val="decimal"/>
      <w:lvlText w:val="%5."/>
      <w:lvlJc w:val="left"/>
      <w:pPr>
        <w:tabs>
          <w:tab w:val="num" w:pos="3600"/>
        </w:tabs>
        <w:ind w:left="3600" w:hanging="360"/>
      </w:pPr>
    </w:lvl>
    <w:lvl w:ilvl="5" w:tplc="3012ADC2" w:tentative="1">
      <w:start w:val="1"/>
      <w:numFmt w:val="decimal"/>
      <w:lvlText w:val="%6."/>
      <w:lvlJc w:val="left"/>
      <w:pPr>
        <w:tabs>
          <w:tab w:val="num" w:pos="4320"/>
        </w:tabs>
        <w:ind w:left="4320" w:hanging="360"/>
      </w:pPr>
    </w:lvl>
    <w:lvl w:ilvl="6" w:tplc="A10E2480" w:tentative="1">
      <w:start w:val="1"/>
      <w:numFmt w:val="decimal"/>
      <w:lvlText w:val="%7."/>
      <w:lvlJc w:val="left"/>
      <w:pPr>
        <w:tabs>
          <w:tab w:val="num" w:pos="5040"/>
        </w:tabs>
        <w:ind w:left="5040" w:hanging="360"/>
      </w:pPr>
    </w:lvl>
    <w:lvl w:ilvl="7" w:tplc="B6C8BB12" w:tentative="1">
      <w:start w:val="1"/>
      <w:numFmt w:val="decimal"/>
      <w:lvlText w:val="%8."/>
      <w:lvlJc w:val="left"/>
      <w:pPr>
        <w:tabs>
          <w:tab w:val="num" w:pos="5760"/>
        </w:tabs>
        <w:ind w:left="5760" w:hanging="360"/>
      </w:pPr>
    </w:lvl>
    <w:lvl w:ilvl="8" w:tplc="1F568828" w:tentative="1">
      <w:start w:val="1"/>
      <w:numFmt w:val="decimal"/>
      <w:lvlText w:val="%9."/>
      <w:lvlJc w:val="left"/>
      <w:pPr>
        <w:tabs>
          <w:tab w:val="num" w:pos="6480"/>
        </w:tabs>
        <w:ind w:left="6480" w:hanging="360"/>
      </w:pPr>
    </w:lvl>
  </w:abstractNum>
  <w:abstractNum w:abstractNumId="5" w15:restartNumberingAfterBreak="0">
    <w:nsid w:val="287724F6"/>
    <w:multiLevelType w:val="multilevel"/>
    <w:tmpl w:val="4CBAE2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57739F"/>
    <w:multiLevelType w:val="multilevel"/>
    <w:tmpl w:val="D88889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E05AE"/>
    <w:multiLevelType w:val="multilevel"/>
    <w:tmpl w:val="3886D8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B264E11"/>
    <w:multiLevelType w:val="multilevel"/>
    <w:tmpl w:val="5212F0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577B62"/>
    <w:multiLevelType w:val="multilevel"/>
    <w:tmpl w:val="411C5A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30C6F3F"/>
    <w:multiLevelType w:val="hybridMultilevel"/>
    <w:tmpl w:val="71184598"/>
    <w:lvl w:ilvl="0" w:tplc="D9DC85A4">
      <w:numFmt w:val="bullet"/>
      <w:lvlText w:val="-"/>
      <w:lvlJc w:val="left"/>
      <w:pPr>
        <w:ind w:left="720" w:hanging="360"/>
      </w:pPr>
      <w:rPr>
        <w:rFonts w:hint="default" w:ascii="Aptos" w:hAnsi="Aptos"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B4728AB"/>
    <w:multiLevelType w:val="multilevel"/>
    <w:tmpl w:val="AE94F9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D20B9A"/>
    <w:multiLevelType w:val="hybridMultilevel"/>
    <w:tmpl w:val="E1BCA11E"/>
    <w:lvl w:ilvl="0" w:tplc="B5866C4A">
      <w:start w:val="30"/>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F0F12EB"/>
    <w:multiLevelType w:val="multilevel"/>
    <w:tmpl w:val="13AE7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70103A"/>
    <w:multiLevelType w:val="multilevel"/>
    <w:tmpl w:val="8B467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C6312B"/>
    <w:multiLevelType w:val="multilevel"/>
    <w:tmpl w:val="00889D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2B85EAA"/>
    <w:multiLevelType w:val="hybridMultilevel"/>
    <w:tmpl w:val="D8DA9E36"/>
    <w:lvl w:ilvl="0" w:tplc="FE22E5BE">
      <w:start w:val="6"/>
      <w:numFmt w:val="lowerLetter"/>
      <w:lvlText w:val="%1."/>
      <w:lvlJc w:val="left"/>
      <w:pPr>
        <w:tabs>
          <w:tab w:val="num" w:pos="720"/>
        </w:tabs>
        <w:ind w:left="720" w:hanging="360"/>
      </w:pPr>
    </w:lvl>
    <w:lvl w:ilvl="1" w:tplc="60E842BA" w:tentative="1">
      <w:start w:val="1"/>
      <w:numFmt w:val="decimal"/>
      <w:lvlText w:val="%2."/>
      <w:lvlJc w:val="left"/>
      <w:pPr>
        <w:tabs>
          <w:tab w:val="num" w:pos="1440"/>
        </w:tabs>
        <w:ind w:left="1440" w:hanging="360"/>
      </w:pPr>
    </w:lvl>
    <w:lvl w:ilvl="2" w:tplc="32E4ABB2" w:tentative="1">
      <w:start w:val="1"/>
      <w:numFmt w:val="decimal"/>
      <w:lvlText w:val="%3."/>
      <w:lvlJc w:val="left"/>
      <w:pPr>
        <w:tabs>
          <w:tab w:val="num" w:pos="2160"/>
        </w:tabs>
        <w:ind w:left="2160" w:hanging="360"/>
      </w:pPr>
    </w:lvl>
    <w:lvl w:ilvl="3" w:tplc="38880706" w:tentative="1">
      <w:start w:val="1"/>
      <w:numFmt w:val="decimal"/>
      <w:lvlText w:val="%4."/>
      <w:lvlJc w:val="left"/>
      <w:pPr>
        <w:tabs>
          <w:tab w:val="num" w:pos="2880"/>
        </w:tabs>
        <w:ind w:left="2880" w:hanging="360"/>
      </w:pPr>
    </w:lvl>
    <w:lvl w:ilvl="4" w:tplc="B90CA804" w:tentative="1">
      <w:start w:val="1"/>
      <w:numFmt w:val="decimal"/>
      <w:lvlText w:val="%5."/>
      <w:lvlJc w:val="left"/>
      <w:pPr>
        <w:tabs>
          <w:tab w:val="num" w:pos="3600"/>
        </w:tabs>
        <w:ind w:left="3600" w:hanging="360"/>
      </w:pPr>
    </w:lvl>
    <w:lvl w:ilvl="5" w:tplc="3AB49EEC" w:tentative="1">
      <w:start w:val="1"/>
      <w:numFmt w:val="decimal"/>
      <w:lvlText w:val="%6."/>
      <w:lvlJc w:val="left"/>
      <w:pPr>
        <w:tabs>
          <w:tab w:val="num" w:pos="4320"/>
        </w:tabs>
        <w:ind w:left="4320" w:hanging="360"/>
      </w:pPr>
    </w:lvl>
    <w:lvl w:ilvl="6" w:tplc="35A2118C" w:tentative="1">
      <w:start w:val="1"/>
      <w:numFmt w:val="decimal"/>
      <w:lvlText w:val="%7."/>
      <w:lvlJc w:val="left"/>
      <w:pPr>
        <w:tabs>
          <w:tab w:val="num" w:pos="5040"/>
        </w:tabs>
        <w:ind w:left="5040" w:hanging="360"/>
      </w:pPr>
    </w:lvl>
    <w:lvl w:ilvl="7" w:tplc="8B280F66" w:tentative="1">
      <w:start w:val="1"/>
      <w:numFmt w:val="decimal"/>
      <w:lvlText w:val="%8."/>
      <w:lvlJc w:val="left"/>
      <w:pPr>
        <w:tabs>
          <w:tab w:val="num" w:pos="5760"/>
        </w:tabs>
        <w:ind w:left="5760" w:hanging="360"/>
      </w:pPr>
    </w:lvl>
    <w:lvl w:ilvl="8" w:tplc="41FCD22E" w:tentative="1">
      <w:start w:val="1"/>
      <w:numFmt w:val="decimal"/>
      <w:lvlText w:val="%9."/>
      <w:lvlJc w:val="left"/>
      <w:pPr>
        <w:tabs>
          <w:tab w:val="num" w:pos="6480"/>
        </w:tabs>
        <w:ind w:left="6480" w:hanging="360"/>
      </w:pPr>
    </w:lvl>
  </w:abstractNum>
  <w:abstractNum w:abstractNumId="17" w15:restartNumberingAfterBreak="0">
    <w:nsid w:val="762F3F0D"/>
    <w:multiLevelType w:val="hybridMultilevel"/>
    <w:tmpl w:val="0908DAEC"/>
    <w:lvl w:ilvl="0" w:tplc="32EE5A16">
      <w:start w:val="6"/>
      <w:numFmt w:val="lowerLetter"/>
      <w:lvlText w:val="%1."/>
      <w:lvlJc w:val="left"/>
      <w:pPr>
        <w:tabs>
          <w:tab w:val="num" w:pos="720"/>
        </w:tabs>
        <w:ind w:left="720" w:hanging="360"/>
      </w:pPr>
    </w:lvl>
    <w:lvl w:ilvl="1" w:tplc="6F987FBA" w:tentative="1">
      <w:start w:val="1"/>
      <w:numFmt w:val="decimal"/>
      <w:lvlText w:val="%2."/>
      <w:lvlJc w:val="left"/>
      <w:pPr>
        <w:tabs>
          <w:tab w:val="num" w:pos="1440"/>
        </w:tabs>
        <w:ind w:left="1440" w:hanging="360"/>
      </w:pPr>
    </w:lvl>
    <w:lvl w:ilvl="2" w:tplc="97E0F948" w:tentative="1">
      <w:start w:val="1"/>
      <w:numFmt w:val="decimal"/>
      <w:lvlText w:val="%3."/>
      <w:lvlJc w:val="left"/>
      <w:pPr>
        <w:tabs>
          <w:tab w:val="num" w:pos="2160"/>
        </w:tabs>
        <w:ind w:left="2160" w:hanging="360"/>
      </w:pPr>
    </w:lvl>
    <w:lvl w:ilvl="3" w:tplc="D974E60E" w:tentative="1">
      <w:start w:val="1"/>
      <w:numFmt w:val="decimal"/>
      <w:lvlText w:val="%4."/>
      <w:lvlJc w:val="left"/>
      <w:pPr>
        <w:tabs>
          <w:tab w:val="num" w:pos="2880"/>
        </w:tabs>
        <w:ind w:left="2880" w:hanging="360"/>
      </w:pPr>
    </w:lvl>
    <w:lvl w:ilvl="4" w:tplc="4710AF02" w:tentative="1">
      <w:start w:val="1"/>
      <w:numFmt w:val="decimal"/>
      <w:lvlText w:val="%5."/>
      <w:lvlJc w:val="left"/>
      <w:pPr>
        <w:tabs>
          <w:tab w:val="num" w:pos="3600"/>
        </w:tabs>
        <w:ind w:left="3600" w:hanging="360"/>
      </w:pPr>
    </w:lvl>
    <w:lvl w:ilvl="5" w:tplc="79C4F428" w:tentative="1">
      <w:start w:val="1"/>
      <w:numFmt w:val="decimal"/>
      <w:lvlText w:val="%6."/>
      <w:lvlJc w:val="left"/>
      <w:pPr>
        <w:tabs>
          <w:tab w:val="num" w:pos="4320"/>
        </w:tabs>
        <w:ind w:left="4320" w:hanging="360"/>
      </w:pPr>
    </w:lvl>
    <w:lvl w:ilvl="6" w:tplc="45EA9CB0" w:tentative="1">
      <w:start w:val="1"/>
      <w:numFmt w:val="decimal"/>
      <w:lvlText w:val="%7."/>
      <w:lvlJc w:val="left"/>
      <w:pPr>
        <w:tabs>
          <w:tab w:val="num" w:pos="5040"/>
        </w:tabs>
        <w:ind w:left="5040" w:hanging="360"/>
      </w:pPr>
    </w:lvl>
    <w:lvl w:ilvl="7" w:tplc="797A9FD2" w:tentative="1">
      <w:start w:val="1"/>
      <w:numFmt w:val="decimal"/>
      <w:lvlText w:val="%8."/>
      <w:lvlJc w:val="left"/>
      <w:pPr>
        <w:tabs>
          <w:tab w:val="num" w:pos="5760"/>
        </w:tabs>
        <w:ind w:left="5760" w:hanging="360"/>
      </w:pPr>
    </w:lvl>
    <w:lvl w:ilvl="8" w:tplc="EA4E7366" w:tentative="1">
      <w:start w:val="1"/>
      <w:numFmt w:val="decimal"/>
      <w:lvlText w:val="%9."/>
      <w:lvlJc w:val="left"/>
      <w:pPr>
        <w:tabs>
          <w:tab w:val="num" w:pos="6480"/>
        </w:tabs>
        <w:ind w:left="6480" w:hanging="360"/>
      </w:pPr>
    </w:lvl>
  </w:abstractNum>
  <w:abstractNum w:abstractNumId="18" w15:restartNumberingAfterBreak="0">
    <w:nsid w:val="76B72616"/>
    <w:multiLevelType w:val="multilevel"/>
    <w:tmpl w:val="9E2A2B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A30D37"/>
    <w:multiLevelType w:val="multilevel"/>
    <w:tmpl w:val="3892B6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9B7523"/>
    <w:multiLevelType w:val="multilevel"/>
    <w:tmpl w:val="17A0B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2E1C2E"/>
    <w:multiLevelType w:val="hybridMultilevel"/>
    <w:tmpl w:val="B212F3A8"/>
    <w:lvl w:ilvl="0" w:tplc="284E9400">
      <w:start w:val="6"/>
      <w:numFmt w:val="lowerLetter"/>
      <w:lvlText w:val="%1."/>
      <w:lvlJc w:val="left"/>
      <w:pPr>
        <w:tabs>
          <w:tab w:val="num" w:pos="720"/>
        </w:tabs>
        <w:ind w:left="720" w:hanging="360"/>
      </w:pPr>
    </w:lvl>
    <w:lvl w:ilvl="1" w:tplc="55AE6156" w:tentative="1">
      <w:start w:val="1"/>
      <w:numFmt w:val="decimal"/>
      <w:lvlText w:val="%2."/>
      <w:lvlJc w:val="left"/>
      <w:pPr>
        <w:tabs>
          <w:tab w:val="num" w:pos="1440"/>
        </w:tabs>
        <w:ind w:left="1440" w:hanging="360"/>
      </w:pPr>
    </w:lvl>
    <w:lvl w:ilvl="2" w:tplc="86E69BC0" w:tentative="1">
      <w:start w:val="1"/>
      <w:numFmt w:val="decimal"/>
      <w:lvlText w:val="%3."/>
      <w:lvlJc w:val="left"/>
      <w:pPr>
        <w:tabs>
          <w:tab w:val="num" w:pos="2160"/>
        </w:tabs>
        <w:ind w:left="2160" w:hanging="360"/>
      </w:pPr>
    </w:lvl>
    <w:lvl w:ilvl="3" w:tplc="A99AE21E" w:tentative="1">
      <w:start w:val="1"/>
      <w:numFmt w:val="decimal"/>
      <w:lvlText w:val="%4."/>
      <w:lvlJc w:val="left"/>
      <w:pPr>
        <w:tabs>
          <w:tab w:val="num" w:pos="2880"/>
        </w:tabs>
        <w:ind w:left="2880" w:hanging="360"/>
      </w:pPr>
    </w:lvl>
    <w:lvl w:ilvl="4" w:tplc="3F9A401A" w:tentative="1">
      <w:start w:val="1"/>
      <w:numFmt w:val="decimal"/>
      <w:lvlText w:val="%5."/>
      <w:lvlJc w:val="left"/>
      <w:pPr>
        <w:tabs>
          <w:tab w:val="num" w:pos="3600"/>
        </w:tabs>
        <w:ind w:left="3600" w:hanging="360"/>
      </w:pPr>
    </w:lvl>
    <w:lvl w:ilvl="5" w:tplc="AB4401D8" w:tentative="1">
      <w:start w:val="1"/>
      <w:numFmt w:val="decimal"/>
      <w:lvlText w:val="%6."/>
      <w:lvlJc w:val="left"/>
      <w:pPr>
        <w:tabs>
          <w:tab w:val="num" w:pos="4320"/>
        </w:tabs>
        <w:ind w:left="4320" w:hanging="360"/>
      </w:pPr>
    </w:lvl>
    <w:lvl w:ilvl="6" w:tplc="35F2F07C" w:tentative="1">
      <w:start w:val="1"/>
      <w:numFmt w:val="decimal"/>
      <w:lvlText w:val="%7."/>
      <w:lvlJc w:val="left"/>
      <w:pPr>
        <w:tabs>
          <w:tab w:val="num" w:pos="5040"/>
        </w:tabs>
        <w:ind w:left="5040" w:hanging="360"/>
      </w:pPr>
    </w:lvl>
    <w:lvl w:ilvl="7" w:tplc="648EFDC4" w:tentative="1">
      <w:start w:val="1"/>
      <w:numFmt w:val="decimal"/>
      <w:lvlText w:val="%8."/>
      <w:lvlJc w:val="left"/>
      <w:pPr>
        <w:tabs>
          <w:tab w:val="num" w:pos="5760"/>
        </w:tabs>
        <w:ind w:left="5760" w:hanging="360"/>
      </w:pPr>
    </w:lvl>
    <w:lvl w:ilvl="8" w:tplc="EC02A4D0" w:tentative="1">
      <w:start w:val="1"/>
      <w:numFmt w:val="decimal"/>
      <w:lvlText w:val="%9."/>
      <w:lvlJc w:val="left"/>
      <w:pPr>
        <w:tabs>
          <w:tab w:val="num" w:pos="6480"/>
        </w:tabs>
        <w:ind w:left="6480" w:hanging="360"/>
      </w:pPr>
    </w:lvl>
  </w:abstractNum>
  <w:abstractNum w:abstractNumId="22" w15:restartNumberingAfterBreak="0">
    <w:nsid w:val="7FB467C2"/>
    <w:multiLevelType w:val="hybridMultilevel"/>
    <w:tmpl w:val="38A808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1737159">
    <w:abstractNumId w:val="13"/>
  </w:num>
  <w:num w:numId="2" w16cid:durableId="1846705107">
    <w:abstractNumId w:val="7"/>
  </w:num>
  <w:num w:numId="3" w16cid:durableId="1425571094">
    <w:abstractNumId w:val="3"/>
  </w:num>
  <w:num w:numId="4" w16cid:durableId="1184588328">
    <w:abstractNumId w:val="9"/>
  </w:num>
  <w:num w:numId="5" w16cid:durableId="2037538911">
    <w:abstractNumId w:val="10"/>
  </w:num>
  <w:num w:numId="6" w16cid:durableId="1535540873">
    <w:abstractNumId w:val="22"/>
  </w:num>
  <w:num w:numId="7" w16cid:durableId="1711489061">
    <w:abstractNumId w:val="1"/>
  </w:num>
  <w:num w:numId="8" w16cid:durableId="432828007">
    <w:abstractNumId w:val="18"/>
  </w:num>
  <w:num w:numId="9" w16cid:durableId="2069180698">
    <w:abstractNumId w:val="8"/>
  </w:num>
  <w:num w:numId="10" w16cid:durableId="1969579272">
    <w:abstractNumId w:val="0"/>
  </w:num>
  <w:num w:numId="11" w16cid:durableId="587813160">
    <w:abstractNumId w:val="5"/>
    <w:lvlOverride w:ilvl="0">
      <w:lvl w:ilvl="0">
        <w:numFmt w:val="decimal"/>
        <w:lvlText w:val="%1."/>
        <w:lvlJc w:val="left"/>
      </w:lvl>
    </w:lvlOverride>
  </w:num>
  <w:num w:numId="12" w16cid:durableId="1376193405">
    <w:abstractNumId w:val="5"/>
    <w:lvlOverride w:ilvl="0">
      <w:lvl w:ilvl="0">
        <w:numFmt w:val="decimal"/>
        <w:lvlText w:val="%1."/>
        <w:lvlJc w:val="left"/>
      </w:lvl>
    </w:lvlOverride>
  </w:num>
  <w:num w:numId="13" w16cid:durableId="943342977">
    <w:abstractNumId w:val="5"/>
    <w:lvlOverride w:ilvl="0">
      <w:lvl w:ilvl="0">
        <w:numFmt w:val="decimal"/>
        <w:lvlText w:val="%1."/>
        <w:lvlJc w:val="left"/>
      </w:lvl>
    </w:lvlOverride>
  </w:num>
  <w:num w:numId="14" w16cid:durableId="1801990223">
    <w:abstractNumId w:val="14"/>
    <w:lvlOverride w:ilvl="0">
      <w:lvl w:ilvl="0">
        <w:numFmt w:val="lowerLetter"/>
        <w:lvlText w:val="%1."/>
        <w:lvlJc w:val="left"/>
      </w:lvl>
    </w:lvlOverride>
  </w:num>
  <w:num w:numId="15" w16cid:durableId="2114469778">
    <w:abstractNumId w:val="14"/>
    <w:lvlOverride w:ilvl="0">
      <w:lvl w:ilvl="0">
        <w:numFmt w:val="lowerLetter"/>
        <w:lvlText w:val="%1."/>
        <w:lvlJc w:val="left"/>
      </w:lvl>
    </w:lvlOverride>
  </w:num>
  <w:num w:numId="16" w16cid:durableId="1392315372">
    <w:abstractNumId w:val="14"/>
    <w:lvlOverride w:ilvl="0">
      <w:lvl w:ilvl="0">
        <w:numFmt w:val="lowerLetter"/>
        <w:lvlText w:val="%1."/>
        <w:lvlJc w:val="left"/>
      </w:lvl>
    </w:lvlOverride>
  </w:num>
  <w:num w:numId="17" w16cid:durableId="561674985">
    <w:abstractNumId w:val="14"/>
    <w:lvlOverride w:ilvl="0">
      <w:lvl w:ilvl="0">
        <w:numFmt w:val="lowerLetter"/>
        <w:lvlText w:val="%1."/>
        <w:lvlJc w:val="left"/>
      </w:lvl>
    </w:lvlOverride>
  </w:num>
  <w:num w:numId="18" w16cid:durableId="2061785256">
    <w:abstractNumId w:val="14"/>
    <w:lvlOverride w:ilvl="0">
      <w:lvl w:ilvl="0">
        <w:numFmt w:val="lowerLetter"/>
        <w:lvlText w:val="%1."/>
        <w:lvlJc w:val="left"/>
      </w:lvl>
    </w:lvlOverride>
  </w:num>
  <w:num w:numId="19" w16cid:durableId="995451759">
    <w:abstractNumId w:val="17"/>
  </w:num>
  <w:num w:numId="20" w16cid:durableId="1604000586">
    <w:abstractNumId w:val="16"/>
  </w:num>
  <w:num w:numId="21" w16cid:durableId="1904826113">
    <w:abstractNumId w:val="4"/>
  </w:num>
  <w:num w:numId="22" w16cid:durableId="407121846">
    <w:abstractNumId w:val="21"/>
  </w:num>
  <w:num w:numId="23" w16cid:durableId="783155949">
    <w:abstractNumId w:val="2"/>
  </w:num>
  <w:num w:numId="24" w16cid:durableId="364064957">
    <w:abstractNumId w:val="19"/>
    <w:lvlOverride w:ilvl="0">
      <w:lvl w:ilvl="0">
        <w:numFmt w:val="decimal"/>
        <w:lvlText w:val="%1."/>
        <w:lvlJc w:val="left"/>
      </w:lvl>
    </w:lvlOverride>
  </w:num>
  <w:num w:numId="25" w16cid:durableId="1644584524">
    <w:abstractNumId w:val="19"/>
    <w:lvlOverride w:ilvl="0">
      <w:lvl w:ilvl="0">
        <w:numFmt w:val="decimal"/>
        <w:lvlText w:val="%1."/>
        <w:lvlJc w:val="left"/>
      </w:lvl>
    </w:lvlOverride>
  </w:num>
  <w:num w:numId="26" w16cid:durableId="886994252">
    <w:abstractNumId w:val="19"/>
    <w:lvlOverride w:ilvl="0">
      <w:lvl w:ilvl="0">
        <w:numFmt w:val="decimal"/>
        <w:lvlText w:val="%1."/>
        <w:lvlJc w:val="left"/>
      </w:lvl>
    </w:lvlOverride>
  </w:num>
  <w:num w:numId="27" w16cid:durableId="1726684645">
    <w:abstractNumId w:val="19"/>
    <w:lvlOverride w:ilvl="0">
      <w:lvl w:ilvl="0">
        <w:numFmt w:val="decimal"/>
        <w:lvlText w:val="%1."/>
        <w:lvlJc w:val="left"/>
      </w:lvl>
    </w:lvlOverride>
  </w:num>
  <w:num w:numId="28" w16cid:durableId="342168394">
    <w:abstractNumId w:val="19"/>
    <w:lvlOverride w:ilvl="0">
      <w:lvl w:ilvl="0">
        <w:numFmt w:val="decimal"/>
        <w:lvlText w:val="%1."/>
        <w:lvlJc w:val="left"/>
      </w:lvl>
    </w:lvlOverride>
  </w:num>
  <w:num w:numId="29" w16cid:durableId="1423184331">
    <w:abstractNumId w:val="19"/>
    <w:lvlOverride w:ilvl="0">
      <w:lvl w:ilvl="0">
        <w:numFmt w:val="decimal"/>
        <w:lvlText w:val="%1."/>
        <w:lvlJc w:val="left"/>
      </w:lvl>
    </w:lvlOverride>
  </w:num>
  <w:num w:numId="30" w16cid:durableId="864556804">
    <w:abstractNumId w:val="19"/>
    <w:lvlOverride w:ilvl="0">
      <w:lvl w:ilvl="0">
        <w:numFmt w:val="decimal"/>
        <w:lvlText w:val="%1."/>
        <w:lvlJc w:val="left"/>
      </w:lvl>
    </w:lvlOverride>
  </w:num>
  <w:num w:numId="31" w16cid:durableId="354112376">
    <w:abstractNumId w:val="19"/>
    <w:lvlOverride w:ilvl="0">
      <w:lvl w:ilvl="0">
        <w:numFmt w:val="decimal"/>
        <w:lvlText w:val="%1."/>
        <w:lvlJc w:val="left"/>
      </w:lvl>
    </w:lvlOverride>
  </w:num>
  <w:num w:numId="32" w16cid:durableId="579758969">
    <w:abstractNumId w:val="19"/>
    <w:lvlOverride w:ilvl="0">
      <w:lvl w:ilvl="0">
        <w:numFmt w:val="decimal"/>
        <w:lvlText w:val="%1."/>
        <w:lvlJc w:val="left"/>
      </w:lvl>
    </w:lvlOverride>
  </w:num>
  <w:num w:numId="33" w16cid:durableId="269746551">
    <w:abstractNumId w:val="12"/>
  </w:num>
  <w:num w:numId="34" w16cid:durableId="1139299547">
    <w:abstractNumId w:val="20"/>
  </w:num>
  <w:num w:numId="35" w16cid:durableId="896166364">
    <w:abstractNumId w:val="6"/>
  </w:num>
  <w:num w:numId="36" w16cid:durableId="1192694679">
    <w:abstractNumId w:val="15"/>
  </w:num>
  <w:num w:numId="37" w16cid:durableId="9712532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149"/>
    <w:rsid w:val="00000BAE"/>
    <w:rsid w:val="000018A2"/>
    <w:rsid w:val="00010BBA"/>
    <w:rsid w:val="00015C8E"/>
    <w:rsid w:val="0002024E"/>
    <w:rsid w:val="00023BE8"/>
    <w:rsid w:val="000347A6"/>
    <w:rsid w:val="0003602B"/>
    <w:rsid w:val="00051A7C"/>
    <w:rsid w:val="00061003"/>
    <w:rsid w:val="00066886"/>
    <w:rsid w:val="00073236"/>
    <w:rsid w:val="000747EA"/>
    <w:rsid w:val="00094B96"/>
    <w:rsid w:val="0009746A"/>
    <w:rsid w:val="000C3BF0"/>
    <w:rsid w:val="000C579C"/>
    <w:rsid w:val="000C6120"/>
    <w:rsid w:val="000D3D96"/>
    <w:rsid w:val="000E30E4"/>
    <w:rsid w:val="000E6283"/>
    <w:rsid w:val="000F54A7"/>
    <w:rsid w:val="000F7ECE"/>
    <w:rsid w:val="001109FF"/>
    <w:rsid w:val="00125793"/>
    <w:rsid w:val="00130BF5"/>
    <w:rsid w:val="001315E3"/>
    <w:rsid w:val="001416F8"/>
    <w:rsid w:val="001454B6"/>
    <w:rsid w:val="001474AF"/>
    <w:rsid w:val="00155FBC"/>
    <w:rsid w:val="00165862"/>
    <w:rsid w:val="00167213"/>
    <w:rsid w:val="00181644"/>
    <w:rsid w:val="00193401"/>
    <w:rsid w:val="001943A5"/>
    <w:rsid w:val="001A0B00"/>
    <w:rsid w:val="001A0DE8"/>
    <w:rsid w:val="001B0FBC"/>
    <w:rsid w:val="001B17C8"/>
    <w:rsid w:val="001B353E"/>
    <w:rsid w:val="001B4900"/>
    <w:rsid w:val="001F3D69"/>
    <w:rsid w:val="00203799"/>
    <w:rsid w:val="0020423F"/>
    <w:rsid w:val="00206A78"/>
    <w:rsid w:val="00211A0C"/>
    <w:rsid w:val="00213C18"/>
    <w:rsid w:val="002152CC"/>
    <w:rsid w:val="002201CE"/>
    <w:rsid w:val="002204DB"/>
    <w:rsid w:val="00220BB7"/>
    <w:rsid w:val="002263DD"/>
    <w:rsid w:val="00227F25"/>
    <w:rsid w:val="0023775F"/>
    <w:rsid w:val="00242917"/>
    <w:rsid w:val="00253E86"/>
    <w:rsid w:val="002602B8"/>
    <w:rsid w:val="00261879"/>
    <w:rsid w:val="00266D99"/>
    <w:rsid w:val="00271789"/>
    <w:rsid w:val="00287BB4"/>
    <w:rsid w:val="002918A4"/>
    <w:rsid w:val="00291920"/>
    <w:rsid w:val="00291F01"/>
    <w:rsid w:val="002A211F"/>
    <w:rsid w:val="002A25CC"/>
    <w:rsid w:val="002B3CFE"/>
    <w:rsid w:val="002C1D28"/>
    <w:rsid w:val="002C5535"/>
    <w:rsid w:val="002F0301"/>
    <w:rsid w:val="002F1344"/>
    <w:rsid w:val="002F65F3"/>
    <w:rsid w:val="00304CCB"/>
    <w:rsid w:val="0032052A"/>
    <w:rsid w:val="00327E5A"/>
    <w:rsid w:val="003404B7"/>
    <w:rsid w:val="003449AD"/>
    <w:rsid w:val="0035376E"/>
    <w:rsid w:val="00362C19"/>
    <w:rsid w:val="00370CFF"/>
    <w:rsid w:val="00377CC0"/>
    <w:rsid w:val="00383302"/>
    <w:rsid w:val="00386C22"/>
    <w:rsid w:val="003966DC"/>
    <w:rsid w:val="003A4D44"/>
    <w:rsid w:val="003B6871"/>
    <w:rsid w:val="003C51E5"/>
    <w:rsid w:val="003D2D21"/>
    <w:rsid w:val="003D3F92"/>
    <w:rsid w:val="003D465B"/>
    <w:rsid w:val="003E4868"/>
    <w:rsid w:val="003F08DA"/>
    <w:rsid w:val="003F24C3"/>
    <w:rsid w:val="004223BA"/>
    <w:rsid w:val="00422440"/>
    <w:rsid w:val="004224C2"/>
    <w:rsid w:val="00426063"/>
    <w:rsid w:val="00426E66"/>
    <w:rsid w:val="004368D9"/>
    <w:rsid w:val="00442BA9"/>
    <w:rsid w:val="00450FEC"/>
    <w:rsid w:val="00455AD4"/>
    <w:rsid w:val="00462471"/>
    <w:rsid w:val="00470663"/>
    <w:rsid w:val="004760DD"/>
    <w:rsid w:val="00484B2B"/>
    <w:rsid w:val="00492E99"/>
    <w:rsid w:val="004958A1"/>
    <w:rsid w:val="004958A5"/>
    <w:rsid w:val="004A35FA"/>
    <w:rsid w:val="004A52EC"/>
    <w:rsid w:val="004A7C4D"/>
    <w:rsid w:val="004B57B6"/>
    <w:rsid w:val="004B7FC4"/>
    <w:rsid w:val="004C12CA"/>
    <w:rsid w:val="004D3142"/>
    <w:rsid w:val="004D3D03"/>
    <w:rsid w:val="004D592E"/>
    <w:rsid w:val="004D6260"/>
    <w:rsid w:val="004D7BB0"/>
    <w:rsid w:val="00513810"/>
    <w:rsid w:val="005168B6"/>
    <w:rsid w:val="00521E84"/>
    <w:rsid w:val="00547B6B"/>
    <w:rsid w:val="005560F9"/>
    <w:rsid w:val="00562BDC"/>
    <w:rsid w:val="00562DEA"/>
    <w:rsid w:val="005645DF"/>
    <w:rsid w:val="00567E31"/>
    <w:rsid w:val="00583C4E"/>
    <w:rsid w:val="005879E5"/>
    <w:rsid w:val="00592231"/>
    <w:rsid w:val="005937CB"/>
    <w:rsid w:val="0059645A"/>
    <w:rsid w:val="005A3387"/>
    <w:rsid w:val="005A3476"/>
    <w:rsid w:val="005A3628"/>
    <w:rsid w:val="005B7E6D"/>
    <w:rsid w:val="005D1871"/>
    <w:rsid w:val="005D29FC"/>
    <w:rsid w:val="005E6F21"/>
    <w:rsid w:val="00601860"/>
    <w:rsid w:val="006035B4"/>
    <w:rsid w:val="0061588F"/>
    <w:rsid w:val="00620EC2"/>
    <w:rsid w:val="00636B82"/>
    <w:rsid w:val="00642620"/>
    <w:rsid w:val="00644461"/>
    <w:rsid w:val="00650D2D"/>
    <w:rsid w:val="0065120B"/>
    <w:rsid w:val="00655AD2"/>
    <w:rsid w:val="00664678"/>
    <w:rsid w:val="00682E7A"/>
    <w:rsid w:val="006858D2"/>
    <w:rsid w:val="00685F7A"/>
    <w:rsid w:val="0068652B"/>
    <w:rsid w:val="006925BE"/>
    <w:rsid w:val="006B5C1D"/>
    <w:rsid w:val="006C19DC"/>
    <w:rsid w:val="006C43F1"/>
    <w:rsid w:val="006D5EE1"/>
    <w:rsid w:val="006E6593"/>
    <w:rsid w:val="00703D9C"/>
    <w:rsid w:val="00710B7C"/>
    <w:rsid w:val="00720F63"/>
    <w:rsid w:val="00743767"/>
    <w:rsid w:val="007549D0"/>
    <w:rsid w:val="00757120"/>
    <w:rsid w:val="00761878"/>
    <w:rsid w:val="00766A3F"/>
    <w:rsid w:val="00770CD4"/>
    <w:rsid w:val="00772209"/>
    <w:rsid w:val="00784994"/>
    <w:rsid w:val="0079773C"/>
    <w:rsid w:val="007A6FF3"/>
    <w:rsid w:val="007B21D9"/>
    <w:rsid w:val="007B5837"/>
    <w:rsid w:val="007E1946"/>
    <w:rsid w:val="007F38F2"/>
    <w:rsid w:val="00812BA0"/>
    <w:rsid w:val="00820149"/>
    <w:rsid w:val="008351A5"/>
    <w:rsid w:val="00853044"/>
    <w:rsid w:val="00861229"/>
    <w:rsid w:val="00864908"/>
    <w:rsid w:val="0087586A"/>
    <w:rsid w:val="00882AF1"/>
    <w:rsid w:val="008972C8"/>
    <w:rsid w:val="008A1B8C"/>
    <w:rsid w:val="008A258A"/>
    <w:rsid w:val="008C00B9"/>
    <w:rsid w:val="008C767F"/>
    <w:rsid w:val="008D12E4"/>
    <w:rsid w:val="008D5260"/>
    <w:rsid w:val="008D7004"/>
    <w:rsid w:val="008E5EBF"/>
    <w:rsid w:val="0091017C"/>
    <w:rsid w:val="009248E2"/>
    <w:rsid w:val="00924D17"/>
    <w:rsid w:val="00931710"/>
    <w:rsid w:val="00935D82"/>
    <w:rsid w:val="00937861"/>
    <w:rsid w:val="00943AF2"/>
    <w:rsid w:val="00954D21"/>
    <w:rsid w:val="0097411D"/>
    <w:rsid w:val="009762D7"/>
    <w:rsid w:val="00984D76"/>
    <w:rsid w:val="009A72D5"/>
    <w:rsid w:val="009A7ED1"/>
    <w:rsid w:val="009B6661"/>
    <w:rsid w:val="009C45A9"/>
    <w:rsid w:val="009C6482"/>
    <w:rsid w:val="009F0609"/>
    <w:rsid w:val="00A02DAC"/>
    <w:rsid w:val="00A02E28"/>
    <w:rsid w:val="00A0738A"/>
    <w:rsid w:val="00A14733"/>
    <w:rsid w:val="00A36BF9"/>
    <w:rsid w:val="00A4265C"/>
    <w:rsid w:val="00A566DB"/>
    <w:rsid w:val="00A60018"/>
    <w:rsid w:val="00A70BD7"/>
    <w:rsid w:val="00A7196C"/>
    <w:rsid w:val="00A8369B"/>
    <w:rsid w:val="00A83D60"/>
    <w:rsid w:val="00A87701"/>
    <w:rsid w:val="00A9509F"/>
    <w:rsid w:val="00AC2903"/>
    <w:rsid w:val="00AD1707"/>
    <w:rsid w:val="00AD5078"/>
    <w:rsid w:val="00AE3C1B"/>
    <w:rsid w:val="00AE4E97"/>
    <w:rsid w:val="00B0075E"/>
    <w:rsid w:val="00B03D0F"/>
    <w:rsid w:val="00B270D3"/>
    <w:rsid w:val="00B44347"/>
    <w:rsid w:val="00B452B6"/>
    <w:rsid w:val="00B4798E"/>
    <w:rsid w:val="00B52D0B"/>
    <w:rsid w:val="00B614AB"/>
    <w:rsid w:val="00B64317"/>
    <w:rsid w:val="00B80075"/>
    <w:rsid w:val="00B821E7"/>
    <w:rsid w:val="00B87ACF"/>
    <w:rsid w:val="00BA2823"/>
    <w:rsid w:val="00BA2E0D"/>
    <w:rsid w:val="00BA4CD2"/>
    <w:rsid w:val="00BC27DA"/>
    <w:rsid w:val="00BD2629"/>
    <w:rsid w:val="00BD7675"/>
    <w:rsid w:val="00BE3DE6"/>
    <w:rsid w:val="00BE408B"/>
    <w:rsid w:val="00BE40F4"/>
    <w:rsid w:val="00BE5FF0"/>
    <w:rsid w:val="00C00245"/>
    <w:rsid w:val="00C0107B"/>
    <w:rsid w:val="00C0290F"/>
    <w:rsid w:val="00C240B1"/>
    <w:rsid w:val="00C27094"/>
    <w:rsid w:val="00C35734"/>
    <w:rsid w:val="00C53249"/>
    <w:rsid w:val="00C6788A"/>
    <w:rsid w:val="00C8230B"/>
    <w:rsid w:val="00C83A79"/>
    <w:rsid w:val="00C8698A"/>
    <w:rsid w:val="00CA52B4"/>
    <w:rsid w:val="00CC00F4"/>
    <w:rsid w:val="00CC32CB"/>
    <w:rsid w:val="00CC4030"/>
    <w:rsid w:val="00CE0753"/>
    <w:rsid w:val="00CE373F"/>
    <w:rsid w:val="00CF086B"/>
    <w:rsid w:val="00CF2EB3"/>
    <w:rsid w:val="00D03DB6"/>
    <w:rsid w:val="00D14949"/>
    <w:rsid w:val="00D15D23"/>
    <w:rsid w:val="00D212C7"/>
    <w:rsid w:val="00D266AA"/>
    <w:rsid w:val="00D37164"/>
    <w:rsid w:val="00D412AB"/>
    <w:rsid w:val="00D47508"/>
    <w:rsid w:val="00D534F3"/>
    <w:rsid w:val="00D54474"/>
    <w:rsid w:val="00D67843"/>
    <w:rsid w:val="00D81DD5"/>
    <w:rsid w:val="00D82355"/>
    <w:rsid w:val="00D901AB"/>
    <w:rsid w:val="00D9092B"/>
    <w:rsid w:val="00DC1638"/>
    <w:rsid w:val="00DC4953"/>
    <w:rsid w:val="00DC6688"/>
    <w:rsid w:val="00DE34D0"/>
    <w:rsid w:val="00DE4F99"/>
    <w:rsid w:val="00DE7232"/>
    <w:rsid w:val="00E07269"/>
    <w:rsid w:val="00E1411E"/>
    <w:rsid w:val="00E24E11"/>
    <w:rsid w:val="00E30549"/>
    <w:rsid w:val="00E45F64"/>
    <w:rsid w:val="00E465B4"/>
    <w:rsid w:val="00E4713F"/>
    <w:rsid w:val="00E561BF"/>
    <w:rsid w:val="00E56C28"/>
    <w:rsid w:val="00E578B5"/>
    <w:rsid w:val="00E57B66"/>
    <w:rsid w:val="00E94675"/>
    <w:rsid w:val="00EA4355"/>
    <w:rsid w:val="00EB07A0"/>
    <w:rsid w:val="00ED4638"/>
    <w:rsid w:val="00ED5EA9"/>
    <w:rsid w:val="00EF78B5"/>
    <w:rsid w:val="00F02257"/>
    <w:rsid w:val="00F02268"/>
    <w:rsid w:val="00F0613E"/>
    <w:rsid w:val="00F07844"/>
    <w:rsid w:val="00F17655"/>
    <w:rsid w:val="00F238E8"/>
    <w:rsid w:val="00F46491"/>
    <w:rsid w:val="00F51E94"/>
    <w:rsid w:val="00F52731"/>
    <w:rsid w:val="00F62349"/>
    <w:rsid w:val="00F654D5"/>
    <w:rsid w:val="00F95734"/>
    <w:rsid w:val="00F974F2"/>
    <w:rsid w:val="00FA1A11"/>
    <w:rsid w:val="00FA5C62"/>
    <w:rsid w:val="00FA5CA2"/>
    <w:rsid w:val="00FD1CCF"/>
    <w:rsid w:val="00FE127A"/>
    <w:rsid w:val="00FF6258"/>
    <w:rsid w:val="00FF7519"/>
    <w:rsid w:val="0B5F2081"/>
    <w:rsid w:val="11448424"/>
    <w:rsid w:val="14A4E6FD"/>
    <w:rsid w:val="180BEEE2"/>
    <w:rsid w:val="205384D4"/>
    <w:rsid w:val="2DC66849"/>
    <w:rsid w:val="41B2FBB3"/>
    <w:rsid w:val="4AE36116"/>
    <w:rsid w:val="6930FF99"/>
    <w:rsid w:val="72DDB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C08D9"/>
  <w15:chartTrackingRefBased/>
  <w15:docId w15:val="{18DC076B-3227-A74C-B647-38B77538E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4030"/>
  </w:style>
  <w:style w:type="paragraph" w:styleId="Heading1">
    <w:name w:val="heading 1"/>
    <w:basedOn w:val="Normal"/>
    <w:next w:val="Normal"/>
    <w:link w:val="Heading1Char"/>
    <w:uiPriority w:val="9"/>
    <w:qFormat/>
    <w:rsid w:val="0082014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014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01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01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1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1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1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1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149"/>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2014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2014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2014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2014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2014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2014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2014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2014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20149"/>
    <w:rPr>
      <w:rFonts w:eastAsiaTheme="majorEastAsia" w:cstheme="majorBidi"/>
      <w:color w:val="272727" w:themeColor="text1" w:themeTint="D8"/>
    </w:rPr>
  </w:style>
  <w:style w:type="paragraph" w:styleId="Title">
    <w:name w:val="Title"/>
    <w:basedOn w:val="Normal"/>
    <w:next w:val="Normal"/>
    <w:link w:val="TitleChar"/>
    <w:uiPriority w:val="10"/>
    <w:qFormat/>
    <w:rsid w:val="0082014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2014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20149"/>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201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14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820149"/>
    <w:rPr>
      <w:i/>
      <w:iCs/>
      <w:color w:val="404040" w:themeColor="text1" w:themeTint="BF"/>
    </w:rPr>
  </w:style>
  <w:style w:type="paragraph" w:styleId="ListParagraph">
    <w:name w:val="List Paragraph"/>
    <w:basedOn w:val="Normal"/>
    <w:uiPriority w:val="34"/>
    <w:qFormat/>
    <w:rsid w:val="00820149"/>
    <w:pPr>
      <w:ind w:left="720"/>
      <w:contextualSpacing/>
    </w:pPr>
  </w:style>
  <w:style w:type="character" w:styleId="IntenseEmphasis">
    <w:name w:val="Intense Emphasis"/>
    <w:basedOn w:val="DefaultParagraphFont"/>
    <w:uiPriority w:val="21"/>
    <w:qFormat/>
    <w:rsid w:val="00820149"/>
    <w:rPr>
      <w:i/>
      <w:iCs/>
      <w:color w:val="0F4761" w:themeColor="accent1" w:themeShade="BF"/>
    </w:rPr>
  </w:style>
  <w:style w:type="paragraph" w:styleId="IntenseQuote">
    <w:name w:val="Intense Quote"/>
    <w:basedOn w:val="Normal"/>
    <w:next w:val="Normal"/>
    <w:link w:val="IntenseQuoteChar"/>
    <w:uiPriority w:val="30"/>
    <w:qFormat/>
    <w:rsid w:val="0082014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20149"/>
    <w:rPr>
      <w:i/>
      <w:iCs/>
      <w:color w:val="0F4761" w:themeColor="accent1" w:themeShade="BF"/>
    </w:rPr>
  </w:style>
  <w:style w:type="character" w:styleId="IntenseReference">
    <w:name w:val="Intense Reference"/>
    <w:basedOn w:val="DefaultParagraphFont"/>
    <w:uiPriority w:val="32"/>
    <w:qFormat/>
    <w:rsid w:val="00820149"/>
    <w:rPr>
      <w:b/>
      <w:bCs/>
      <w:smallCaps/>
      <w:color w:val="0F4761" w:themeColor="accent1" w:themeShade="BF"/>
      <w:spacing w:val="5"/>
    </w:rPr>
  </w:style>
  <w:style w:type="character" w:styleId="apple-converted-space" w:customStyle="1">
    <w:name w:val="apple-converted-space"/>
    <w:basedOn w:val="DefaultParagraphFont"/>
    <w:rsid w:val="00820149"/>
  </w:style>
  <w:style w:type="paragraph" w:styleId="xelementtoproof" w:customStyle="1">
    <w:name w:val="x_elementtoproof"/>
    <w:basedOn w:val="Normal"/>
    <w:rsid w:val="00820149"/>
    <w:pPr>
      <w:spacing w:before="100" w:beforeAutospacing="1" w:after="100" w:afterAutospacing="1"/>
    </w:pPr>
    <w:rPr>
      <w:rFonts w:ascii="Times New Roman" w:hAnsi="Times New Roman" w:eastAsia="Times New Roman" w:cs="Times New Roman"/>
      <w:kern w:val="0"/>
      <w:lang w:eastAsia="en-GB"/>
      <w14:ligatures w14:val="none"/>
    </w:rPr>
  </w:style>
  <w:style w:type="paragraph" w:styleId="xmsonormal" w:customStyle="1">
    <w:name w:val="x_msonormal"/>
    <w:basedOn w:val="Normal"/>
    <w:rsid w:val="00820149"/>
    <w:pPr>
      <w:spacing w:before="100" w:beforeAutospacing="1" w:after="100" w:afterAutospacing="1"/>
    </w:pPr>
    <w:rPr>
      <w:rFonts w:ascii="Times New Roman" w:hAnsi="Times New Roman" w:eastAsia="Times New Roman" w:cs="Times New Roman"/>
      <w:kern w:val="0"/>
      <w:lang w:eastAsia="en-GB"/>
      <w14:ligatures w14:val="none"/>
    </w:rPr>
  </w:style>
  <w:style w:type="character" w:styleId="Hyperlink">
    <w:name w:val="Hyperlink"/>
    <w:basedOn w:val="DefaultParagraphFont"/>
    <w:uiPriority w:val="99"/>
    <w:unhideWhenUsed/>
    <w:rsid w:val="006858D2"/>
    <w:rPr>
      <w:color w:val="0000FF"/>
      <w:u w:val="single"/>
    </w:rPr>
  </w:style>
  <w:style w:type="character" w:styleId="FollowedHyperlink">
    <w:name w:val="FollowedHyperlink"/>
    <w:basedOn w:val="DefaultParagraphFont"/>
    <w:uiPriority w:val="99"/>
    <w:semiHidden/>
    <w:unhideWhenUsed/>
    <w:rsid w:val="006858D2"/>
    <w:rPr>
      <w:color w:val="96607D" w:themeColor="followedHyperlink"/>
      <w:u w:val="single"/>
    </w:rPr>
  </w:style>
  <w:style w:type="table" w:styleId="TableGrid">
    <w:name w:val="Table Grid"/>
    <w:basedOn w:val="TableNormal"/>
    <w:uiPriority w:val="39"/>
    <w:rsid w:val="001F3D6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xxmsonormal" w:customStyle="1">
    <w:name w:val="x_x_msonormal"/>
    <w:basedOn w:val="Normal"/>
    <w:rsid w:val="00D901AB"/>
    <w:pPr>
      <w:spacing w:before="100" w:beforeAutospacing="1" w:after="100" w:afterAutospacing="1"/>
    </w:pPr>
    <w:rPr>
      <w:rFonts w:ascii="Times New Roman" w:hAnsi="Times New Roman" w:eastAsia="Times New Roman" w:cs="Times New Roman"/>
      <w:kern w:val="0"/>
      <w:lang w:eastAsia="en-GB"/>
      <w14:ligatures w14:val="none"/>
    </w:rPr>
  </w:style>
  <w:style w:type="character" w:styleId="UnresolvedMention">
    <w:name w:val="Unresolved Mention"/>
    <w:basedOn w:val="DefaultParagraphFont"/>
    <w:uiPriority w:val="99"/>
    <w:semiHidden/>
    <w:unhideWhenUsed/>
    <w:rsid w:val="00D901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www.gardenmuseum.org.uk/career/consultant-brief-interpretation-design-benton-end-revived/" TargetMode="External" Id="rId10" /><Relationship Type="http://schemas.openxmlformats.org/officeDocument/2006/relationships/numbering" Target="numbering.xml" Id="rId4" /><Relationship Type="http://schemas.openxmlformats.org/officeDocument/2006/relationships/hyperlink" Target="https://www.gardenmuseum.org.uk/career/consultant-brief-interpretation-design-benton-end-revived/"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BA5F801656B941BAC38A4D5A546CE6" ma:contentTypeVersion="19" ma:contentTypeDescription="Create a new document." ma:contentTypeScope="" ma:versionID="4bef9c9f5374c5e7cb1908ec35e5bc3a">
  <xsd:schema xmlns:xsd="http://www.w3.org/2001/XMLSchema" xmlns:xs="http://www.w3.org/2001/XMLSchema" xmlns:p="http://schemas.microsoft.com/office/2006/metadata/properties" xmlns:ns2="4ad7fdd6-54b8-4075-b9a8-d192cbd95914" xmlns:ns3="6b5c50e1-ceda-4edd-94ef-f8da8fe9efb5" targetNamespace="http://schemas.microsoft.com/office/2006/metadata/properties" ma:root="true" ma:fieldsID="ab371b5afb2a39bacfe450e0b4fecde4" ns2:_="" ns3:_="">
    <xsd:import namespace="4ad7fdd6-54b8-4075-b9a8-d192cbd95914"/>
    <xsd:import namespace="6b5c50e1-ceda-4edd-94ef-f8da8fe9ef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fdd6-54b8-4075-b9a8-d192cbd95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4fb9eea-bd04-48eb-9cc1-5895ea2e68c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5c50e1-ceda-4edd-94ef-f8da8fe9ef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512c4-cafb-4bb7-bdfd-026014a6a1bb}" ma:internalName="TaxCatchAll" ma:showField="CatchAllData" ma:web="6b5c50e1-ceda-4edd-94ef-f8da8fe9e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d7fdd6-54b8-4075-b9a8-d192cbd95914">
      <Terms xmlns="http://schemas.microsoft.com/office/infopath/2007/PartnerControls"/>
    </lcf76f155ced4ddcb4097134ff3c332f>
    <TaxCatchAll xmlns="6b5c50e1-ceda-4edd-94ef-f8da8fe9ef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615FCE-8BC8-4E6F-9B91-87170B7A7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7fdd6-54b8-4075-b9a8-d192cbd95914"/>
    <ds:schemaRef ds:uri="6b5c50e1-ceda-4edd-94ef-f8da8fe9e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C78486-C2EB-4A88-9B25-D040490D23E2}">
  <ds:schemaRefs>
    <ds:schemaRef ds:uri="http://schemas.microsoft.com/office/2006/metadata/properties"/>
    <ds:schemaRef ds:uri="http://schemas.microsoft.com/office/infopath/2007/PartnerControls"/>
    <ds:schemaRef ds:uri="4ad7fdd6-54b8-4075-b9a8-d192cbd95914"/>
    <ds:schemaRef ds:uri="6b5c50e1-ceda-4edd-94ef-f8da8fe9efb5"/>
  </ds:schemaRefs>
</ds:datastoreItem>
</file>

<file path=customXml/itemProps3.xml><?xml version="1.0" encoding="utf-8"?>
<ds:datastoreItem xmlns:ds="http://schemas.openxmlformats.org/officeDocument/2006/customXml" ds:itemID="{22E7F10D-D8B8-4DE3-AE78-F744C919870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Beatrice Prosser-Snelling</dc:creator>
  <keywords/>
  <dc:description/>
  <lastModifiedBy>Beatrice Prosser-Snelling</lastModifiedBy>
  <revision>110</revision>
  <dcterms:created xsi:type="dcterms:W3CDTF">2026-07-20T09:38:00.0000000Z</dcterms:created>
  <dcterms:modified xsi:type="dcterms:W3CDTF">2026-07-22T07:28:59.0007004Z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0x01010029BA5F801656B941BAC38A4D5A546CE6</vt:lpwstr>
  </property>
  <property fmtid="{D5CDD505-2E9C-101B-9397-08002B2CF9AE}" pid="3" name="MediaServiceImageTags">
    <vt:lpwstr/>
  </property>
</Properties>
</file>